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5638" w:rsidRPr="009B48CE" w:rsidRDefault="00815638" w:rsidP="009B48CE">
      <w:pPr>
        <w:spacing w:after="0" w:line="276" w:lineRule="auto"/>
        <w:jc w:val="both"/>
        <w:rPr>
          <w:rFonts w:ascii="Palatino Linotype" w:hAnsi="Palatino Linotype"/>
          <w:b/>
          <w:sz w:val="23"/>
          <w:szCs w:val="23"/>
        </w:rPr>
      </w:pPr>
      <w:bookmarkStart w:id="0" w:name="_GoBack"/>
      <w:bookmarkEnd w:id="0"/>
      <w:r w:rsidRPr="009B48CE">
        <w:rPr>
          <w:rFonts w:ascii="Palatino Linotype" w:hAnsi="Palatino Linotype"/>
          <w:b/>
          <w:sz w:val="23"/>
          <w:szCs w:val="23"/>
        </w:rPr>
        <w:t xml:space="preserve">VOTO PARTICULAR QUE FORMULA LA COMISIONADA PRESIDENTA ZULEMA MARTÍNEZ SÁNCHEZ, EN RELACIÓN CON LA RESOLUCIÓN DICTADA POR EL PLENO DEL INSTITUTO DE TRANSPARENCIA, ACCESO A LA INFORMACIÓN PÚBLICA Y PROTECCIÓN DE DATOS PERSONALES DEL ESTADO DE MÉXICO Y MUNICIPIOS, EN LA </w:t>
      </w:r>
      <w:r w:rsidR="00274B73" w:rsidRPr="009B48CE">
        <w:rPr>
          <w:rFonts w:ascii="Palatino Linotype" w:hAnsi="Palatino Linotype"/>
          <w:b/>
          <w:sz w:val="23"/>
          <w:szCs w:val="23"/>
        </w:rPr>
        <w:t>SÉPTIMA</w:t>
      </w:r>
      <w:r w:rsidRPr="009B48CE">
        <w:rPr>
          <w:rFonts w:ascii="Palatino Linotype" w:hAnsi="Palatino Linotype"/>
          <w:b/>
          <w:sz w:val="23"/>
          <w:szCs w:val="23"/>
        </w:rPr>
        <w:t xml:space="preserve"> SESIÓN ORDINARIA DEL </w:t>
      </w:r>
      <w:r w:rsidR="00274B73" w:rsidRPr="009B48CE">
        <w:rPr>
          <w:rFonts w:ascii="Palatino Linotype" w:hAnsi="Palatino Linotype"/>
          <w:b/>
          <w:sz w:val="23"/>
          <w:szCs w:val="23"/>
        </w:rPr>
        <w:t>VEINTE</w:t>
      </w:r>
      <w:r w:rsidRPr="009B48CE">
        <w:rPr>
          <w:rFonts w:ascii="Palatino Linotype" w:hAnsi="Palatino Linotype"/>
          <w:b/>
          <w:sz w:val="23"/>
          <w:szCs w:val="23"/>
        </w:rPr>
        <w:t xml:space="preserve"> DE </w:t>
      </w:r>
      <w:r w:rsidR="00274B73" w:rsidRPr="009B48CE">
        <w:rPr>
          <w:rFonts w:ascii="Palatino Linotype" w:hAnsi="Palatino Linotype"/>
          <w:b/>
          <w:sz w:val="23"/>
          <w:szCs w:val="23"/>
        </w:rPr>
        <w:t>FEBRERO DE DOS MIL DIECINUEVE</w:t>
      </w:r>
      <w:r w:rsidRPr="009B48CE">
        <w:rPr>
          <w:rFonts w:ascii="Palatino Linotype" w:hAnsi="Palatino Linotype"/>
          <w:b/>
          <w:sz w:val="23"/>
          <w:szCs w:val="23"/>
        </w:rPr>
        <w:t xml:space="preserve">, EN EL RECURSO DE REVISIÓN </w:t>
      </w:r>
      <w:r w:rsidR="00274B73" w:rsidRPr="009B48CE">
        <w:rPr>
          <w:rFonts w:ascii="Palatino Linotype" w:hAnsi="Palatino Linotype"/>
          <w:b/>
          <w:sz w:val="23"/>
          <w:szCs w:val="23"/>
        </w:rPr>
        <w:t>04609</w:t>
      </w:r>
      <w:r w:rsidRPr="009B48CE">
        <w:rPr>
          <w:rFonts w:ascii="Palatino Linotype" w:hAnsi="Palatino Linotype"/>
          <w:b/>
          <w:sz w:val="23"/>
          <w:szCs w:val="23"/>
        </w:rPr>
        <w:t>/INFOEM/IP/RR/2018.</w:t>
      </w:r>
    </w:p>
    <w:p w:rsidR="00815638" w:rsidRPr="009B48CE" w:rsidRDefault="00815638" w:rsidP="009B48CE">
      <w:pPr>
        <w:spacing w:after="0" w:line="276" w:lineRule="auto"/>
        <w:jc w:val="both"/>
        <w:rPr>
          <w:rFonts w:ascii="Palatino Linotype" w:hAnsi="Palatino Linotype"/>
          <w:b/>
          <w:sz w:val="23"/>
          <w:szCs w:val="23"/>
        </w:rPr>
      </w:pPr>
    </w:p>
    <w:p w:rsidR="00815638" w:rsidRPr="009B48CE" w:rsidRDefault="00815638" w:rsidP="009B48CE">
      <w:pPr>
        <w:spacing w:after="0" w:line="276" w:lineRule="auto"/>
        <w:jc w:val="both"/>
        <w:rPr>
          <w:rFonts w:ascii="Palatino Linotype" w:hAnsi="Palatino Linotype"/>
          <w:sz w:val="23"/>
          <w:szCs w:val="23"/>
        </w:rPr>
      </w:pPr>
      <w:r w:rsidRPr="009B48CE">
        <w:rPr>
          <w:rFonts w:ascii="Palatino Linotype" w:hAnsi="Palatino Linotype"/>
          <w:sz w:val="23"/>
          <w:szCs w:val="23"/>
        </w:rPr>
        <w:t>Con fundamento en lo dispuesto por el artículo 14</w:t>
      </w:r>
      <w:r w:rsidR="0023513C" w:rsidRPr="009B48CE">
        <w:rPr>
          <w:rFonts w:ascii="Palatino Linotype" w:hAnsi="Palatino Linotype"/>
          <w:sz w:val="23"/>
          <w:szCs w:val="23"/>
        </w:rPr>
        <w:t>,</w:t>
      </w:r>
      <w:r w:rsidRPr="009B48CE">
        <w:rPr>
          <w:rFonts w:ascii="Palatino Linotype" w:hAnsi="Palatino Linotype"/>
          <w:sz w:val="23"/>
          <w:szCs w:val="23"/>
        </w:rPr>
        <w:t xml:space="preserve"> fracción XI</w:t>
      </w:r>
      <w:r w:rsidR="0023513C" w:rsidRPr="009B48CE">
        <w:rPr>
          <w:rFonts w:ascii="Palatino Linotype" w:hAnsi="Palatino Linotype"/>
          <w:sz w:val="23"/>
          <w:szCs w:val="23"/>
        </w:rPr>
        <w:t>,</w:t>
      </w:r>
      <w:r w:rsidRPr="009B48CE">
        <w:rPr>
          <w:rFonts w:ascii="Palatino Linotype" w:hAnsi="Palatino Linotype"/>
          <w:sz w:val="23"/>
          <w:szCs w:val="23"/>
        </w:rPr>
        <w:t xml:space="preserve"> del Reglamento Interior del Instituto de Transparencia, Acceso a la Información Pública y Protección de Datos Personales del Estado de México y Municip</w:t>
      </w:r>
      <w:r w:rsidR="007A77C3" w:rsidRPr="009B48CE">
        <w:rPr>
          <w:rFonts w:ascii="Palatino Linotype" w:hAnsi="Palatino Linotype"/>
          <w:sz w:val="23"/>
          <w:szCs w:val="23"/>
        </w:rPr>
        <w:t xml:space="preserve">ios, la Comisionada Presidenta </w:t>
      </w:r>
      <w:r w:rsidRPr="009B48CE">
        <w:rPr>
          <w:rFonts w:ascii="Palatino Linotype" w:hAnsi="Palatino Linotype"/>
          <w:sz w:val="23"/>
          <w:szCs w:val="23"/>
        </w:rPr>
        <w:t xml:space="preserve">Zulema Martínez Sánchez emite </w:t>
      </w:r>
      <w:r w:rsidRPr="009B48CE">
        <w:rPr>
          <w:rFonts w:ascii="Palatino Linotype" w:hAnsi="Palatino Linotype"/>
          <w:b/>
          <w:sz w:val="23"/>
          <w:szCs w:val="23"/>
        </w:rPr>
        <w:t>VOTO PARTICULAR</w:t>
      </w:r>
      <w:r w:rsidRPr="009B48CE">
        <w:rPr>
          <w:rFonts w:ascii="Palatino Linotype" w:hAnsi="Palatino Linotype"/>
          <w:sz w:val="23"/>
          <w:szCs w:val="23"/>
        </w:rPr>
        <w:t xml:space="preserve"> respecto a la resolución dictada en </w:t>
      </w:r>
      <w:r w:rsidR="007A77C3" w:rsidRPr="009B48CE">
        <w:rPr>
          <w:rFonts w:ascii="Palatino Linotype" w:hAnsi="Palatino Linotype"/>
          <w:sz w:val="23"/>
          <w:szCs w:val="23"/>
        </w:rPr>
        <w:t>el</w:t>
      </w:r>
      <w:r w:rsidRPr="009B48CE">
        <w:rPr>
          <w:rFonts w:ascii="Palatino Linotype" w:hAnsi="Palatino Linotype"/>
          <w:sz w:val="23"/>
          <w:szCs w:val="23"/>
        </w:rPr>
        <w:t xml:space="preserve"> recursos de revisión </w:t>
      </w:r>
      <w:r w:rsidR="00290657" w:rsidRPr="009B48CE">
        <w:rPr>
          <w:rFonts w:ascii="Palatino Linotype" w:hAnsi="Palatino Linotype"/>
          <w:b/>
          <w:sz w:val="23"/>
          <w:szCs w:val="23"/>
        </w:rPr>
        <w:t>0</w:t>
      </w:r>
      <w:r w:rsidR="00274B73" w:rsidRPr="009B48CE">
        <w:rPr>
          <w:rFonts w:ascii="Palatino Linotype" w:hAnsi="Palatino Linotype"/>
          <w:b/>
          <w:sz w:val="23"/>
          <w:szCs w:val="23"/>
        </w:rPr>
        <w:t>460</w:t>
      </w:r>
      <w:r w:rsidR="00DC2E5A">
        <w:rPr>
          <w:rFonts w:ascii="Palatino Linotype" w:hAnsi="Palatino Linotype"/>
          <w:b/>
          <w:sz w:val="23"/>
          <w:szCs w:val="23"/>
        </w:rPr>
        <w:t>9</w:t>
      </w:r>
      <w:r w:rsidRPr="009B48CE">
        <w:rPr>
          <w:rFonts w:ascii="Palatino Linotype" w:hAnsi="Palatino Linotype"/>
          <w:b/>
          <w:sz w:val="23"/>
          <w:szCs w:val="23"/>
        </w:rPr>
        <w:t>/INFOEM/IP/RR/2018</w:t>
      </w:r>
      <w:r w:rsidRPr="009B48CE">
        <w:rPr>
          <w:rFonts w:ascii="Palatino Linotype" w:hAnsi="Palatino Linotype"/>
          <w:sz w:val="23"/>
          <w:szCs w:val="23"/>
        </w:rPr>
        <w:t xml:space="preserve">, pronunciada por el Pleno de este Instituto ante el proyecto presentado por el </w:t>
      </w:r>
      <w:r w:rsidRPr="009B48CE">
        <w:rPr>
          <w:rFonts w:ascii="Palatino Linotype" w:hAnsi="Palatino Linotype"/>
          <w:b/>
          <w:sz w:val="23"/>
          <w:szCs w:val="23"/>
        </w:rPr>
        <w:t>Comisionado Javier Martínez Cruz</w:t>
      </w:r>
      <w:r w:rsidRPr="009B48CE">
        <w:rPr>
          <w:rFonts w:ascii="Palatino Linotype" w:hAnsi="Palatino Linotype"/>
          <w:sz w:val="23"/>
          <w:szCs w:val="23"/>
        </w:rPr>
        <w:t xml:space="preserve">, que es del tenor siguiente: </w:t>
      </w:r>
    </w:p>
    <w:p w:rsidR="00815638" w:rsidRPr="009B48CE" w:rsidRDefault="00815638" w:rsidP="009B48CE">
      <w:pPr>
        <w:spacing w:after="0" w:line="276" w:lineRule="auto"/>
        <w:jc w:val="both"/>
        <w:rPr>
          <w:rFonts w:ascii="Palatino Linotype" w:hAnsi="Palatino Linotype"/>
          <w:sz w:val="23"/>
          <w:szCs w:val="23"/>
        </w:rPr>
      </w:pPr>
    </w:p>
    <w:p w:rsidR="00815638" w:rsidRPr="009B48CE" w:rsidRDefault="00815638" w:rsidP="009B48CE">
      <w:pPr>
        <w:spacing w:after="0" w:line="276" w:lineRule="auto"/>
        <w:jc w:val="both"/>
        <w:rPr>
          <w:rFonts w:ascii="Palatino Linotype" w:hAnsi="Palatino Linotype"/>
          <w:sz w:val="23"/>
          <w:szCs w:val="23"/>
        </w:rPr>
      </w:pPr>
      <w:r w:rsidRPr="009B48CE">
        <w:rPr>
          <w:rFonts w:ascii="Palatino Linotype" w:hAnsi="Palatino Linotype"/>
          <w:sz w:val="23"/>
          <w:szCs w:val="23"/>
        </w:rPr>
        <w:t>En primer término debemos referir que se comparte el sentido en general de la resolución presentada por el Comisionado Ponente, no obstante se hará mención de un punto que en opinión de quien suscribe, se debió tomar en consideración al momento de</w:t>
      </w:r>
      <w:r w:rsidR="00C76424" w:rsidRPr="009B48CE">
        <w:rPr>
          <w:rFonts w:ascii="Palatino Linotype" w:hAnsi="Palatino Linotype"/>
          <w:sz w:val="23"/>
          <w:szCs w:val="23"/>
        </w:rPr>
        <w:t>l estudio</w:t>
      </w:r>
      <w:r w:rsidRPr="009B48CE">
        <w:rPr>
          <w:rFonts w:ascii="Palatino Linotype" w:hAnsi="Palatino Linotype"/>
          <w:sz w:val="23"/>
          <w:szCs w:val="23"/>
        </w:rPr>
        <w:t xml:space="preserve"> </w:t>
      </w:r>
      <w:r w:rsidR="00C76424" w:rsidRPr="009B48CE">
        <w:rPr>
          <w:rFonts w:ascii="Palatino Linotype" w:hAnsi="Palatino Linotype"/>
          <w:sz w:val="23"/>
          <w:szCs w:val="23"/>
        </w:rPr>
        <w:t>en el</w:t>
      </w:r>
      <w:r w:rsidRPr="009B48CE">
        <w:rPr>
          <w:rFonts w:ascii="Palatino Linotype" w:hAnsi="Palatino Linotype"/>
          <w:sz w:val="23"/>
          <w:szCs w:val="23"/>
        </w:rPr>
        <w:t xml:space="preserve"> recurso que nos ocupa. </w:t>
      </w:r>
    </w:p>
    <w:p w:rsidR="00815638" w:rsidRPr="009B48CE" w:rsidRDefault="00815638" w:rsidP="009B48CE">
      <w:pPr>
        <w:spacing w:after="0" w:line="276" w:lineRule="auto"/>
        <w:jc w:val="both"/>
        <w:rPr>
          <w:rFonts w:ascii="Palatino Linotype" w:hAnsi="Palatino Linotype"/>
          <w:sz w:val="23"/>
          <w:szCs w:val="23"/>
        </w:rPr>
      </w:pPr>
    </w:p>
    <w:p w:rsidR="00815638" w:rsidRPr="009B48CE" w:rsidRDefault="00815638" w:rsidP="009B48CE">
      <w:pPr>
        <w:spacing w:after="0" w:line="276" w:lineRule="auto"/>
        <w:jc w:val="both"/>
        <w:rPr>
          <w:rFonts w:ascii="Palatino Linotype" w:hAnsi="Palatino Linotype"/>
          <w:sz w:val="23"/>
          <w:szCs w:val="23"/>
        </w:rPr>
      </w:pPr>
      <w:r w:rsidRPr="009B48CE">
        <w:rPr>
          <w:rFonts w:ascii="Palatino Linotype" w:hAnsi="Palatino Linotype"/>
          <w:sz w:val="23"/>
          <w:szCs w:val="23"/>
        </w:rPr>
        <w:t>Para tal fin, es necesario atender el punto de la solicitud, materia del presente voto, el cual consisten en lo siguiente:</w:t>
      </w:r>
    </w:p>
    <w:p w:rsidR="00815638" w:rsidRPr="009B48CE" w:rsidRDefault="00815638" w:rsidP="009B48CE">
      <w:pPr>
        <w:pStyle w:val="Encabezado"/>
        <w:spacing w:line="276" w:lineRule="auto"/>
        <w:ind w:right="851"/>
        <w:jc w:val="both"/>
        <w:rPr>
          <w:rFonts w:ascii="Palatino Linotype" w:eastAsia="Calibri" w:hAnsi="Palatino Linotype"/>
          <w:b/>
          <w:i/>
          <w:sz w:val="23"/>
          <w:szCs w:val="23"/>
          <w:lang w:val="es-MX" w:eastAsia="en-US"/>
        </w:rPr>
      </w:pPr>
    </w:p>
    <w:p w:rsidR="00815638" w:rsidRPr="00E2122E" w:rsidRDefault="00274B73" w:rsidP="009B48CE">
      <w:pPr>
        <w:pStyle w:val="Encabezado"/>
        <w:spacing w:line="276" w:lineRule="auto"/>
        <w:ind w:left="851" w:right="851"/>
        <w:jc w:val="both"/>
        <w:rPr>
          <w:rFonts w:ascii="Palatino Linotype" w:eastAsia="Calibri" w:hAnsi="Palatino Linotype"/>
          <w:i/>
          <w:sz w:val="22"/>
          <w:szCs w:val="23"/>
          <w:lang w:val="es-MX" w:eastAsia="en-US"/>
        </w:rPr>
      </w:pPr>
      <w:r w:rsidRPr="00E2122E">
        <w:rPr>
          <w:rFonts w:ascii="Palatino Linotype" w:eastAsia="Calibri" w:hAnsi="Palatino Linotype"/>
          <w:b/>
          <w:i/>
          <w:sz w:val="22"/>
          <w:szCs w:val="23"/>
          <w:lang w:val="es-MX" w:eastAsia="en-US"/>
        </w:rPr>
        <w:t xml:space="preserve">“REQUERIMOS SE NOS INFORME CUÁL DEBE SER EL PROCEDIMIENTO LEGAL QUE DEBEN ATENDER LAS DEPENDENCIAS Y ENTIDADES DE LA ADMINISTRACIÓN PUBLICA DEL GOBIERNO DEL ESTADO DE MÉXICO, CON RELACIÓN A LA SELECCIÓN, DESIGNACIÓN Y CONTRATACIÓN DE LA </w:t>
      </w:r>
      <w:r w:rsidRPr="00E2122E">
        <w:rPr>
          <w:rFonts w:ascii="Palatino Linotype" w:eastAsia="Calibri" w:hAnsi="Palatino Linotype"/>
          <w:b/>
          <w:i/>
          <w:sz w:val="22"/>
          <w:szCs w:val="23"/>
          <w:lang w:val="es-MX" w:eastAsia="en-US"/>
        </w:rPr>
        <w:lastRenderedPageBreak/>
        <w:t>PARTICIPACIÓN DE TESTIGOS SOCIALES EN LOS PROCEDIMIENTOS ADQUISITIVOS Y DE CONTRATACIÓN, CONSIDERANDO LA RESPUESTA DE CONTRALORÍA EN EL SENTIDO DE APLICAR LO SEÑALADO EN EL INDICE DEL EXPEDIENTE DE PARTICIPACIÓN DEL TESTIGO SOCIAL Y LA RESPUESTA EMITIDA POR EL COMITÉ DE REGISTRO DE TESTIGOS SOCIALES EN EL SENTIDO DE QUE ESE COMITÉ NO DESIGNA A TESTIGO SOCIAL ALGUNO. SE ANEXAN AMBOS DOCUMENTOS.” (sic)</w:t>
      </w:r>
    </w:p>
    <w:p w:rsidR="00815638" w:rsidRPr="009B48CE" w:rsidRDefault="00815638" w:rsidP="009B48CE">
      <w:pPr>
        <w:spacing w:after="0" w:line="276" w:lineRule="auto"/>
        <w:ind w:left="567" w:right="423"/>
        <w:jc w:val="both"/>
        <w:rPr>
          <w:rFonts w:ascii="Palatino Linotype" w:hAnsi="Palatino Linotype"/>
          <w:i/>
          <w:sz w:val="23"/>
          <w:szCs w:val="23"/>
        </w:rPr>
      </w:pPr>
    </w:p>
    <w:p w:rsidR="00815638" w:rsidRPr="009B48CE" w:rsidRDefault="00815638" w:rsidP="009B48CE">
      <w:pPr>
        <w:spacing w:before="240" w:after="240" w:line="276" w:lineRule="auto"/>
        <w:jc w:val="both"/>
        <w:rPr>
          <w:rFonts w:ascii="Palatino Linotype" w:hAnsi="Palatino Linotype"/>
          <w:sz w:val="23"/>
          <w:szCs w:val="23"/>
        </w:rPr>
      </w:pPr>
      <w:r w:rsidRPr="009B48CE">
        <w:rPr>
          <w:rFonts w:ascii="Palatino Linotype" w:hAnsi="Palatino Linotype"/>
          <w:sz w:val="23"/>
          <w:szCs w:val="23"/>
        </w:rPr>
        <w:t>Cabe señalar que por parte del Sujeto Obligado remitió respuesta en los siguientes términos:</w:t>
      </w:r>
    </w:p>
    <w:p w:rsidR="0023513C" w:rsidRPr="00E2122E" w:rsidRDefault="0023513C" w:rsidP="009B48CE">
      <w:pPr>
        <w:spacing w:line="276" w:lineRule="auto"/>
        <w:ind w:left="851" w:right="902"/>
        <w:jc w:val="both"/>
        <w:rPr>
          <w:rFonts w:ascii="Palatino Linotype" w:hAnsi="Palatino Linotype"/>
          <w:i/>
          <w:szCs w:val="23"/>
        </w:rPr>
      </w:pPr>
      <w:r w:rsidRPr="00E2122E">
        <w:rPr>
          <w:rFonts w:ascii="Palatino Linotype" w:hAnsi="Palatino Linotype"/>
          <w:i/>
          <w:szCs w:val="23"/>
        </w:rPr>
        <w:t>“…</w:t>
      </w:r>
    </w:p>
    <w:p w:rsidR="0023513C" w:rsidRPr="00E2122E" w:rsidRDefault="00BE28A0" w:rsidP="009B48CE">
      <w:pPr>
        <w:spacing w:line="276" w:lineRule="auto"/>
        <w:ind w:left="851" w:right="902"/>
        <w:jc w:val="both"/>
        <w:rPr>
          <w:rFonts w:ascii="Palatino Linotype" w:hAnsi="Palatino Linotype"/>
          <w:i/>
          <w:szCs w:val="23"/>
        </w:rPr>
      </w:pPr>
      <w:r w:rsidRPr="00E2122E">
        <w:rPr>
          <w:rFonts w:ascii="Palatino Linotype" w:hAnsi="Palatino Linotype"/>
          <w:i/>
          <w:szCs w:val="23"/>
        </w:rPr>
        <w:t>El procedimiento que deben atender las Dependencias y Entidades de la Administración Pública del Gobierno del Estado de México, con relación a la selección, designación y contratación de la participación de testigos sociales en los procedimientos adquisitivos y de contratación —que se realicen con recursos económicos estatales de manera parcial o total-, lo regulan los artículos 1.46, 1.61 y 1.63 del Título Décimo del Libro Primero del Código Administrativo del Estado de México y 2, 12, 17, 22, 29 y 30 de su Reglamento, normas legales de conocimiento público, con acceso fácil, libre, irrestricto y gratuito, en la página electrónica del Gobierno del Estado, denominada Legistel</w:t>
      </w:r>
      <w:r w:rsidR="0023513C" w:rsidRPr="00E2122E">
        <w:rPr>
          <w:rFonts w:ascii="Palatino Linotype" w:hAnsi="Palatino Linotype"/>
          <w:i/>
          <w:szCs w:val="23"/>
        </w:rPr>
        <w:t>.</w:t>
      </w:r>
    </w:p>
    <w:p w:rsidR="00815638" w:rsidRPr="00E2122E" w:rsidRDefault="0023513C" w:rsidP="009B48CE">
      <w:pPr>
        <w:spacing w:line="276" w:lineRule="auto"/>
        <w:ind w:left="851" w:right="902"/>
        <w:jc w:val="both"/>
        <w:rPr>
          <w:rFonts w:ascii="Palatino Linotype" w:hAnsi="Palatino Linotype"/>
          <w:i/>
          <w:szCs w:val="23"/>
        </w:rPr>
      </w:pPr>
      <w:r w:rsidRPr="00E2122E">
        <w:rPr>
          <w:rFonts w:ascii="Palatino Linotype" w:hAnsi="Palatino Linotype"/>
          <w:i/>
          <w:szCs w:val="23"/>
        </w:rPr>
        <w:t>…” (Sic)</w:t>
      </w:r>
    </w:p>
    <w:p w:rsidR="00C76424" w:rsidRPr="00E2122E" w:rsidRDefault="00C76424" w:rsidP="009B48CE">
      <w:pPr>
        <w:pStyle w:val="Sinespaciado"/>
        <w:spacing w:line="276" w:lineRule="auto"/>
        <w:rPr>
          <w:szCs w:val="23"/>
        </w:rPr>
      </w:pPr>
    </w:p>
    <w:p w:rsidR="00D5452A" w:rsidRPr="009B48CE" w:rsidRDefault="00815638" w:rsidP="009B48CE">
      <w:pPr>
        <w:spacing w:before="240" w:after="240" w:line="276" w:lineRule="auto"/>
        <w:jc w:val="both"/>
        <w:rPr>
          <w:rFonts w:ascii="Palatino Linotype" w:hAnsi="Palatino Linotype"/>
          <w:sz w:val="23"/>
          <w:szCs w:val="23"/>
        </w:rPr>
      </w:pPr>
      <w:r w:rsidRPr="009B48CE">
        <w:rPr>
          <w:rFonts w:ascii="Palatino Linotype" w:hAnsi="Palatino Linotype"/>
          <w:sz w:val="23"/>
          <w:szCs w:val="23"/>
        </w:rPr>
        <w:t xml:space="preserve">Ahora bien, la ponencia determino que </w:t>
      </w:r>
      <w:r w:rsidR="00C76424" w:rsidRPr="009B48CE">
        <w:rPr>
          <w:rFonts w:ascii="Palatino Linotype" w:hAnsi="Palatino Linotype"/>
          <w:sz w:val="23"/>
          <w:szCs w:val="23"/>
        </w:rPr>
        <w:t>la información proporcionada por el Sujeto Obligado atiende de manera puntual el requerimiento del impetrante</w:t>
      </w:r>
      <w:r w:rsidR="00D5452A" w:rsidRPr="009B48CE">
        <w:rPr>
          <w:rFonts w:ascii="Palatino Linotype" w:hAnsi="Palatino Linotype"/>
          <w:sz w:val="23"/>
          <w:szCs w:val="23"/>
        </w:rPr>
        <w:t xml:space="preserve">, sustentándolo en artículo 3, fracción IX del Reglamento del Título Décimo del Libro Primero del Código </w:t>
      </w:r>
      <w:r w:rsidR="00D5452A" w:rsidRPr="009B48CE">
        <w:rPr>
          <w:rFonts w:ascii="Palatino Linotype" w:hAnsi="Palatino Linotype"/>
          <w:sz w:val="23"/>
          <w:szCs w:val="23"/>
        </w:rPr>
        <w:lastRenderedPageBreak/>
        <w:t>Administrativo del Estado de México, en el Código Administrativo del Estado de México, en el que establece en términos generales que, el Testigo Social es un mecanismo de participación ciudadana, por medio del cual se involucra a la sociedad civil en los procedimientos de contratación pública relevantes; procedimientos en los que por su complejidad, impacto o monto de recursos requieren una atención especial, para minimizar riesgos de opacidad y corrupción. En los casos en los que participe un Testigo Social se informará sobre su participación y el objetivo de ésta desde las bases de licitación, es conveniente agregar que el Testigo Social es aquella persona física o moral que como representante de la sociedad civil participa en las contrataciones que llevan a cabo:</w:t>
      </w:r>
    </w:p>
    <w:p w:rsidR="00D5452A" w:rsidRPr="009B48CE" w:rsidRDefault="00D5452A" w:rsidP="009B48CE">
      <w:pPr>
        <w:spacing w:before="240" w:after="240" w:line="276" w:lineRule="auto"/>
        <w:ind w:left="426" w:right="706"/>
        <w:jc w:val="both"/>
        <w:rPr>
          <w:rFonts w:ascii="Palatino Linotype" w:hAnsi="Palatino Linotype"/>
          <w:sz w:val="23"/>
          <w:szCs w:val="23"/>
        </w:rPr>
      </w:pPr>
      <w:r w:rsidRPr="009B48CE">
        <w:rPr>
          <w:rFonts w:ascii="Palatino Linotype" w:hAnsi="Palatino Linotype"/>
          <w:sz w:val="23"/>
          <w:szCs w:val="23"/>
        </w:rPr>
        <w:t>•</w:t>
      </w:r>
      <w:r w:rsidRPr="009B48CE">
        <w:rPr>
          <w:rFonts w:ascii="Palatino Linotype" w:hAnsi="Palatino Linotype"/>
          <w:sz w:val="23"/>
          <w:szCs w:val="23"/>
        </w:rPr>
        <w:tab/>
        <w:t>Las Secretarías y Unidades Administrativas del Poder Ejecutivo del Estado;</w:t>
      </w:r>
    </w:p>
    <w:p w:rsidR="00D5452A" w:rsidRPr="009B48CE" w:rsidRDefault="00D5452A" w:rsidP="009B48CE">
      <w:pPr>
        <w:spacing w:before="240" w:after="240" w:line="276" w:lineRule="auto"/>
        <w:ind w:left="426" w:right="706"/>
        <w:jc w:val="both"/>
        <w:rPr>
          <w:rFonts w:ascii="Palatino Linotype" w:hAnsi="Palatino Linotype"/>
          <w:sz w:val="23"/>
          <w:szCs w:val="23"/>
        </w:rPr>
      </w:pPr>
      <w:r w:rsidRPr="009B48CE">
        <w:rPr>
          <w:rFonts w:ascii="Palatino Linotype" w:hAnsi="Palatino Linotype"/>
          <w:sz w:val="23"/>
          <w:szCs w:val="23"/>
        </w:rPr>
        <w:t>•</w:t>
      </w:r>
      <w:r w:rsidRPr="009B48CE">
        <w:rPr>
          <w:rFonts w:ascii="Palatino Linotype" w:hAnsi="Palatino Linotype"/>
          <w:sz w:val="23"/>
          <w:szCs w:val="23"/>
        </w:rPr>
        <w:tab/>
        <w:t>La Fiscalía General de Justicia del Estado de México;</w:t>
      </w:r>
    </w:p>
    <w:p w:rsidR="00D5452A" w:rsidRPr="009B48CE" w:rsidRDefault="00D5452A" w:rsidP="009B48CE">
      <w:pPr>
        <w:spacing w:before="240" w:after="240" w:line="276" w:lineRule="auto"/>
        <w:ind w:left="426" w:right="706"/>
        <w:jc w:val="both"/>
        <w:rPr>
          <w:rFonts w:ascii="Palatino Linotype" w:hAnsi="Palatino Linotype"/>
          <w:sz w:val="23"/>
          <w:szCs w:val="23"/>
        </w:rPr>
      </w:pPr>
      <w:r w:rsidRPr="009B48CE">
        <w:rPr>
          <w:rFonts w:ascii="Palatino Linotype" w:hAnsi="Palatino Linotype"/>
          <w:sz w:val="23"/>
          <w:szCs w:val="23"/>
        </w:rPr>
        <w:t>•</w:t>
      </w:r>
      <w:r w:rsidRPr="009B48CE">
        <w:rPr>
          <w:rFonts w:ascii="Palatino Linotype" w:hAnsi="Palatino Linotype"/>
          <w:sz w:val="23"/>
          <w:szCs w:val="23"/>
        </w:rPr>
        <w:tab/>
        <w:t>Los Ayuntamientos;</w:t>
      </w:r>
    </w:p>
    <w:p w:rsidR="00D5452A" w:rsidRPr="009B48CE" w:rsidRDefault="00D5452A" w:rsidP="009B48CE">
      <w:pPr>
        <w:spacing w:before="240" w:after="240" w:line="276" w:lineRule="auto"/>
        <w:ind w:left="426" w:right="706"/>
        <w:jc w:val="both"/>
        <w:rPr>
          <w:rFonts w:ascii="Palatino Linotype" w:hAnsi="Palatino Linotype"/>
          <w:sz w:val="23"/>
          <w:szCs w:val="23"/>
        </w:rPr>
      </w:pPr>
      <w:r w:rsidRPr="009B48CE">
        <w:rPr>
          <w:rFonts w:ascii="Palatino Linotype" w:hAnsi="Palatino Linotype"/>
          <w:sz w:val="23"/>
          <w:szCs w:val="23"/>
        </w:rPr>
        <w:t>•</w:t>
      </w:r>
      <w:r w:rsidRPr="009B48CE">
        <w:rPr>
          <w:rFonts w:ascii="Palatino Linotype" w:hAnsi="Palatino Linotype"/>
          <w:sz w:val="23"/>
          <w:szCs w:val="23"/>
        </w:rPr>
        <w:tab/>
        <w:t>Los Organismos Auxiliares del Estado y municipios; y</w:t>
      </w:r>
    </w:p>
    <w:p w:rsidR="00D5452A" w:rsidRPr="009B48CE" w:rsidRDefault="00D5452A" w:rsidP="009B48CE">
      <w:pPr>
        <w:spacing w:before="240" w:after="240" w:line="276" w:lineRule="auto"/>
        <w:ind w:left="426" w:right="706"/>
        <w:jc w:val="both"/>
        <w:rPr>
          <w:rFonts w:ascii="Palatino Linotype" w:hAnsi="Palatino Linotype"/>
          <w:sz w:val="23"/>
          <w:szCs w:val="23"/>
        </w:rPr>
      </w:pPr>
      <w:r w:rsidRPr="009B48CE">
        <w:rPr>
          <w:rFonts w:ascii="Palatino Linotype" w:hAnsi="Palatino Linotype"/>
          <w:sz w:val="23"/>
          <w:szCs w:val="23"/>
        </w:rPr>
        <w:t>•</w:t>
      </w:r>
      <w:r w:rsidRPr="009B48CE">
        <w:rPr>
          <w:rFonts w:ascii="Palatino Linotype" w:hAnsi="Palatino Linotype"/>
          <w:sz w:val="23"/>
          <w:szCs w:val="23"/>
        </w:rPr>
        <w:tab/>
        <w:t>Los Tribunales Administrativos.</w:t>
      </w:r>
    </w:p>
    <w:p w:rsidR="00C76424" w:rsidRPr="009B48CE" w:rsidRDefault="00D5452A" w:rsidP="009B48CE">
      <w:pPr>
        <w:spacing w:before="240" w:after="240" w:line="276" w:lineRule="auto"/>
        <w:ind w:left="426" w:right="706"/>
        <w:jc w:val="both"/>
        <w:rPr>
          <w:rFonts w:ascii="Palatino Linotype" w:hAnsi="Palatino Linotype"/>
          <w:sz w:val="23"/>
          <w:szCs w:val="23"/>
        </w:rPr>
      </w:pPr>
      <w:r w:rsidRPr="009B48CE">
        <w:rPr>
          <w:rFonts w:ascii="Palatino Linotype" w:hAnsi="Palatino Linotype"/>
          <w:sz w:val="23"/>
          <w:szCs w:val="23"/>
        </w:rPr>
        <w:t>•</w:t>
      </w:r>
      <w:r w:rsidRPr="009B48CE">
        <w:rPr>
          <w:rFonts w:ascii="Palatino Linotype" w:hAnsi="Palatino Linotype"/>
          <w:sz w:val="23"/>
          <w:szCs w:val="23"/>
        </w:rPr>
        <w:tab/>
        <w:t>Los poderes Legislativo y Judicial, así como los Organismos Autónomos, aplicarán los procedimientos previstos para la participación del Testigo Social, en todo lo que no se oponga a los ordenam</w:t>
      </w:r>
      <w:r w:rsidR="009B48CE" w:rsidRPr="009B48CE">
        <w:rPr>
          <w:rFonts w:ascii="Palatino Linotype" w:hAnsi="Palatino Linotype"/>
          <w:sz w:val="23"/>
          <w:szCs w:val="23"/>
        </w:rPr>
        <w:t>ientos legales que los regulan.</w:t>
      </w:r>
    </w:p>
    <w:p w:rsidR="00C76424" w:rsidRPr="009B48CE" w:rsidRDefault="00C76424" w:rsidP="009B48CE">
      <w:pPr>
        <w:pStyle w:val="Sinespaciado"/>
        <w:spacing w:line="276" w:lineRule="auto"/>
        <w:rPr>
          <w:sz w:val="23"/>
          <w:szCs w:val="23"/>
        </w:rPr>
      </w:pPr>
    </w:p>
    <w:p w:rsidR="00D5452A" w:rsidRPr="009B48CE" w:rsidRDefault="00D5452A" w:rsidP="009B48CE">
      <w:pPr>
        <w:spacing w:before="240" w:after="240" w:line="276" w:lineRule="auto"/>
        <w:jc w:val="both"/>
        <w:rPr>
          <w:rFonts w:ascii="Palatino Linotype" w:hAnsi="Palatino Linotype"/>
          <w:sz w:val="23"/>
          <w:szCs w:val="23"/>
        </w:rPr>
      </w:pPr>
      <w:r w:rsidRPr="009B48CE">
        <w:rPr>
          <w:rFonts w:ascii="Palatino Linotype" w:hAnsi="Palatino Linotype"/>
          <w:sz w:val="23"/>
          <w:szCs w:val="23"/>
        </w:rPr>
        <w:t>Argumentando que el Testigo Social tiene derecho a voz en los procedimientos de contratación pública en los que participe y deberá emitir su testimonio al término de su participación, el cual versará sobre el desarrollo de las etapas del procedimiento de contratación correspondiente y en caso de irregularidades deberá de notificar de inmediato a la Secretaría de la Contraloría.</w:t>
      </w:r>
    </w:p>
    <w:p w:rsidR="00D5452A" w:rsidRPr="009B48CE" w:rsidRDefault="00D5452A" w:rsidP="009B48CE">
      <w:pPr>
        <w:spacing w:before="240" w:after="240" w:line="276" w:lineRule="auto"/>
        <w:jc w:val="both"/>
        <w:rPr>
          <w:rFonts w:ascii="Palatino Linotype" w:hAnsi="Palatino Linotype"/>
          <w:sz w:val="23"/>
          <w:szCs w:val="23"/>
        </w:rPr>
      </w:pPr>
      <w:r w:rsidRPr="009B48CE">
        <w:rPr>
          <w:rFonts w:ascii="Palatino Linotype" w:hAnsi="Palatino Linotype"/>
          <w:sz w:val="23"/>
          <w:szCs w:val="23"/>
        </w:rPr>
        <w:t xml:space="preserve">Asimismo, indicó que las unidades administrativas mencionadas en el artículo 1.43 </w:t>
      </w:r>
      <w:r w:rsidRPr="009B48CE">
        <w:rPr>
          <w:rFonts w:ascii="Palatino Linotype" w:hAnsi="Palatino Linotype"/>
          <w:i/>
          <w:sz w:val="23"/>
          <w:szCs w:val="23"/>
        </w:rPr>
        <w:t>(Las Secretarías y Unidades Administrativas del Poder Ejecutivo del Estado; La Fiscalía General de Justicia del Estado de México; Los Ayuntamientos; Los Organismos Auxiliares del Estado y municipios; Los Tribunales Administrativos; Los poderes Legislativo y Judicial, así como los Organismos Autónomos, aplicarán los procedimientos previstos para la participación del Testigo Social, en todo lo que no se oponga a los ordenamientos legales que los regulan)</w:t>
      </w:r>
      <w:r w:rsidRPr="009B48CE">
        <w:rPr>
          <w:rFonts w:ascii="Palatino Linotype" w:hAnsi="Palatino Linotype"/>
          <w:sz w:val="23"/>
          <w:szCs w:val="23"/>
        </w:rPr>
        <w:t xml:space="preserve"> podrán solicitar la participación de los Testigos Sociales en los procedimientos de contratación que estimen convenientes de acuerdo con los criterios y disposiciones establecidos en el presente título, en este sentido debe mencionarse que el Testigo Social podrá participar en los procedimientos de adjudicación contenidos relativos a:</w:t>
      </w:r>
    </w:p>
    <w:p w:rsidR="00D5452A" w:rsidRPr="009B48CE" w:rsidRDefault="00D5452A" w:rsidP="009B48CE">
      <w:pPr>
        <w:spacing w:before="240" w:after="240" w:line="276" w:lineRule="auto"/>
        <w:ind w:left="426" w:right="564"/>
        <w:jc w:val="both"/>
        <w:rPr>
          <w:rFonts w:ascii="Palatino Linotype" w:hAnsi="Palatino Linotype"/>
          <w:sz w:val="23"/>
          <w:szCs w:val="23"/>
        </w:rPr>
      </w:pPr>
      <w:r w:rsidRPr="009B48CE">
        <w:rPr>
          <w:rFonts w:ascii="Palatino Linotype" w:hAnsi="Palatino Linotype"/>
          <w:sz w:val="23"/>
          <w:szCs w:val="23"/>
        </w:rPr>
        <w:t>•</w:t>
      </w:r>
      <w:r w:rsidRPr="009B48CE">
        <w:rPr>
          <w:rFonts w:ascii="Palatino Linotype" w:hAnsi="Palatino Linotype"/>
          <w:sz w:val="23"/>
          <w:szCs w:val="23"/>
        </w:rPr>
        <w:tab/>
        <w:t>La concesión de infraestructura vial</w:t>
      </w:r>
    </w:p>
    <w:p w:rsidR="00D5452A" w:rsidRPr="009B48CE" w:rsidRDefault="00D5452A" w:rsidP="009B48CE">
      <w:pPr>
        <w:spacing w:before="240" w:after="240" w:line="276" w:lineRule="auto"/>
        <w:ind w:left="426" w:right="564"/>
        <w:jc w:val="both"/>
        <w:rPr>
          <w:rFonts w:ascii="Palatino Linotype" w:hAnsi="Palatino Linotype"/>
          <w:sz w:val="23"/>
          <w:szCs w:val="23"/>
        </w:rPr>
      </w:pPr>
      <w:r w:rsidRPr="009B48CE">
        <w:rPr>
          <w:rFonts w:ascii="Palatino Linotype" w:hAnsi="Palatino Linotype"/>
          <w:sz w:val="23"/>
          <w:szCs w:val="23"/>
        </w:rPr>
        <w:t>•</w:t>
      </w:r>
      <w:r w:rsidRPr="009B48CE">
        <w:rPr>
          <w:rFonts w:ascii="Palatino Linotype" w:hAnsi="Palatino Linotype"/>
          <w:sz w:val="23"/>
          <w:szCs w:val="23"/>
        </w:rPr>
        <w:tab/>
        <w:t>La obra pública y servicios relacionados con la misma.</w:t>
      </w:r>
    </w:p>
    <w:p w:rsidR="00D5452A" w:rsidRPr="009B48CE" w:rsidRDefault="00D5452A" w:rsidP="009B48CE">
      <w:pPr>
        <w:spacing w:before="240" w:after="240" w:line="276" w:lineRule="auto"/>
        <w:ind w:left="426" w:right="564"/>
        <w:jc w:val="both"/>
        <w:rPr>
          <w:rFonts w:ascii="Palatino Linotype" w:hAnsi="Palatino Linotype"/>
          <w:sz w:val="23"/>
          <w:szCs w:val="23"/>
        </w:rPr>
      </w:pPr>
      <w:r w:rsidRPr="009B48CE">
        <w:rPr>
          <w:rFonts w:ascii="Palatino Linotype" w:hAnsi="Palatino Linotype"/>
          <w:sz w:val="23"/>
          <w:szCs w:val="23"/>
        </w:rPr>
        <w:t>•</w:t>
      </w:r>
      <w:r w:rsidRPr="009B48CE">
        <w:rPr>
          <w:rFonts w:ascii="Palatino Linotype" w:hAnsi="Palatino Linotype"/>
          <w:sz w:val="23"/>
          <w:szCs w:val="23"/>
        </w:rPr>
        <w:tab/>
        <w:t>Los bienes y servicios, el arrendamiento y la enajenación; y</w:t>
      </w:r>
    </w:p>
    <w:p w:rsidR="009B48CE" w:rsidRPr="009B48CE" w:rsidRDefault="00D5452A" w:rsidP="009B48CE">
      <w:pPr>
        <w:tabs>
          <w:tab w:val="left" w:pos="708"/>
          <w:tab w:val="left" w:pos="1416"/>
          <w:tab w:val="left" w:pos="2124"/>
          <w:tab w:val="left" w:pos="2832"/>
          <w:tab w:val="left" w:pos="3540"/>
          <w:tab w:val="left" w:pos="4248"/>
          <w:tab w:val="left" w:pos="4956"/>
          <w:tab w:val="left" w:pos="5773"/>
        </w:tabs>
        <w:spacing w:before="240" w:after="240" w:line="276" w:lineRule="auto"/>
        <w:ind w:left="426" w:right="564"/>
        <w:jc w:val="both"/>
        <w:rPr>
          <w:rFonts w:ascii="Palatino Linotype" w:hAnsi="Palatino Linotype"/>
          <w:sz w:val="23"/>
          <w:szCs w:val="23"/>
        </w:rPr>
      </w:pPr>
      <w:r w:rsidRPr="009B48CE">
        <w:rPr>
          <w:rFonts w:ascii="Palatino Linotype" w:hAnsi="Palatino Linotype"/>
          <w:sz w:val="23"/>
          <w:szCs w:val="23"/>
        </w:rPr>
        <w:t>•</w:t>
      </w:r>
      <w:r w:rsidRPr="009B48CE">
        <w:rPr>
          <w:rFonts w:ascii="Palatino Linotype" w:hAnsi="Palatino Linotype"/>
          <w:sz w:val="23"/>
          <w:szCs w:val="23"/>
        </w:rPr>
        <w:tab/>
        <w:t>Los proyectos para la prestación de servicios.</w:t>
      </w:r>
    </w:p>
    <w:p w:rsidR="00D5452A" w:rsidRPr="009B48CE" w:rsidRDefault="00D5452A" w:rsidP="009B48CE">
      <w:pPr>
        <w:tabs>
          <w:tab w:val="left" w:pos="708"/>
          <w:tab w:val="left" w:pos="1416"/>
          <w:tab w:val="left" w:pos="2124"/>
          <w:tab w:val="left" w:pos="2832"/>
          <w:tab w:val="left" w:pos="3540"/>
          <w:tab w:val="left" w:pos="4248"/>
          <w:tab w:val="left" w:pos="4956"/>
          <w:tab w:val="left" w:pos="5773"/>
        </w:tabs>
        <w:spacing w:before="240" w:after="240" w:line="276" w:lineRule="auto"/>
        <w:ind w:right="564"/>
        <w:jc w:val="both"/>
        <w:rPr>
          <w:rFonts w:ascii="Palatino Linotype" w:hAnsi="Palatino Linotype"/>
          <w:sz w:val="23"/>
          <w:szCs w:val="23"/>
        </w:rPr>
      </w:pPr>
      <w:r w:rsidRPr="009B48CE">
        <w:rPr>
          <w:rFonts w:ascii="Palatino Linotype" w:hAnsi="Palatino Linotype"/>
          <w:sz w:val="23"/>
          <w:szCs w:val="23"/>
        </w:rPr>
        <w:t>Para contar con un Testigo Social las contrataciones deberán reunir alguna de las siguientes características:</w:t>
      </w:r>
    </w:p>
    <w:p w:rsidR="00D5452A" w:rsidRPr="009B48CE" w:rsidRDefault="00D5452A" w:rsidP="009B48CE">
      <w:pPr>
        <w:spacing w:before="240" w:after="240" w:line="276" w:lineRule="auto"/>
        <w:ind w:left="426" w:right="564"/>
        <w:jc w:val="both"/>
        <w:rPr>
          <w:rFonts w:ascii="Palatino Linotype" w:hAnsi="Palatino Linotype"/>
          <w:sz w:val="23"/>
          <w:szCs w:val="23"/>
        </w:rPr>
      </w:pPr>
      <w:r w:rsidRPr="009B48CE">
        <w:rPr>
          <w:rFonts w:ascii="Palatino Linotype" w:hAnsi="Palatino Linotype"/>
          <w:sz w:val="23"/>
          <w:szCs w:val="23"/>
        </w:rPr>
        <w:t>•</w:t>
      </w:r>
      <w:r w:rsidRPr="009B48CE">
        <w:rPr>
          <w:rFonts w:ascii="Palatino Linotype" w:hAnsi="Palatino Linotype"/>
          <w:sz w:val="23"/>
          <w:szCs w:val="23"/>
        </w:rPr>
        <w:tab/>
        <w:t>Que corresponda a obras o acciones de alto impacto social;</w:t>
      </w:r>
    </w:p>
    <w:p w:rsidR="00D5452A" w:rsidRPr="009B48CE" w:rsidRDefault="00D5452A" w:rsidP="009B48CE">
      <w:pPr>
        <w:spacing w:before="240" w:after="240" w:line="276" w:lineRule="auto"/>
        <w:ind w:left="426" w:right="564"/>
        <w:jc w:val="both"/>
        <w:rPr>
          <w:rFonts w:ascii="Palatino Linotype" w:hAnsi="Palatino Linotype"/>
          <w:sz w:val="23"/>
          <w:szCs w:val="23"/>
        </w:rPr>
      </w:pPr>
      <w:r w:rsidRPr="009B48CE">
        <w:rPr>
          <w:rFonts w:ascii="Palatino Linotype" w:hAnsi="Palatino Linotype"/>
          <w:sz w:val="23"/>
          <w:szCs w:val="23"/>
        </w:rPr>
        <w:t>•</w:t>
      </w:r>
      <w:r w:rsidRPr="009B48CE">
        <w:rPr>
          <w:rFonts w:ascii="Palatino Linotype" w:hAnsi="Palatino Linotype"/>
          <w:sz w:val="23"/>
          <w:szCs w:val="23"/>
        </w:rPr>
        <w:tab/>
        <w:t>Que el monto de la contratación sea representativo;</w:t>
      </w:r>
    </w:p>
    <w:p w:rsidR="00D5452A" w:rsidRPr="009B48CE" w:rsidRDefault="00D5452A" w:rsidP="009B48CE">
      <w:pPr>
        <w:spacing w:before="240" w:after="240" w:line="276" w:lineRule="auto"/>
        <w:ind w:left="426" w:right="564"/>
        <w:jc w:val="both"/>
        <w:rPr>
          <w:rFonts w:ascii="Palatino Linotype" w:hAnsi="Palatino Linotype"/>
          <w:sz w:val="23"/>
          <w:szCs w:val="23"/>
        </w:rPr>
      </w:pPr>
      <w:r w:rsidRPr="009B48CE">
        <w:rPr>
          <w:rFonts w:ascii="Palatino Linotype" w:hAnsi="Palatino Linotype"/>
          <w:sz w:val="23"/>
          <w:szCs w:val="23"/>
        </w:rPr>
        <w:t>•</w:t>
      </w:r>
      <w:r w:rsidRPr="009B48CE">
        <w:rPr>
          <w:rFonts w:ascii="Palatino Linotype" w:hAnsi="Palatino Linotype"/>
          <w:sz w:val="23"/>
          <w:szCs w:val="23"/>
        </w:rPr>
        <w:tab/>
        <w:t>Que incentive significativamente el desarrollo económico y social;</w:t>
      </w:r>
    </w:p>
    <w:p w:rsidR="00D5452A" w:rsidRPr="009B48CE" w:rsidRDefault="00D5452A" w:rsidP="009B48CE">
      <w:pPr>
        <w:spacing w:before="240" w:after="240" w:line="276" w:lineRule="auto"/>
        <w:ind w:left="426" w:right="564"/>
        <w:jc w:val="both"/>
        <w:rPr>
          <w:rFonts w:ascii="Palatino Linotype" w:hAnsi="Palatino Linotype"/>
          <w:sz w:val="23"/>
          <w:szCs w:val="23"/>
        </w:rPr>
      </w:pPr>
      <w:r w:rsidRPr="009B48CE">
        <w:rPr>
          <w:rFonts w:ascii="Palatino Linotype" w:hAnsi="Palatino Linotype"/>
          <w:sz w:val="23"/>
          <w:szCs w:val="23"/>
        </w:rPr>
        <w:t>•</w:t>
      </w:r>
      <w:r w:rsidRPr="009B48CE">
        <w:rPr>
          <w:rFonts w:ascii="Palatino Linotype" w:hAnsi="Palatino Linotype"/>
          <w:sz w:val="23"/>
          <w:szCs w:val="23"/>
        </w:rPr>
        <w:tab/>
        <w:t>Que incida en una estrategia de crecimiento municipal, regional o estatal; o</w:t>
      </w:r>
    </w:p>
    <w:p w:rsidR="00C76424" w:rsidRPr="009B48CE" w:rsidRDefault="00D5452A" w:rsidP="009B48CE">
      <w:pPr>
        <w:spacing w:before="240" w:after="240" w:line="276" w:lineRule="auto"/>
        <w:ind w:left="426" w:right="564"/>
        <w:jc w:val="both"/>
        <w:rPr>
          <w:rFonts w:ascii="Palatino Linotype" w:hAnsi="Palatino Linotype"/>
          <w:sz w:val="23"/>
          <w:szCs w:val="23"/>
        </w:rPr>
      </w:pPr>
      <w:r w:rsidRPr="009B48CE">
        <w:rPr>
          <w:rFonts w:ascii="Palatino Linotype" w:hAnsi="Palatino Linotype"/>
          <w:sz w:val="23"/>
          <w:szCs w:val="23"/>
        </w:rPr>
        <w:t>•</w:t>
      </w:r>
      <w:r w:rsidRPr="009B48CE">
        <w:rPr>
          <w:rFonts w:ascii="Palatino Linotype" w:hAnsi="Palatino Linotype"/>
          <w:sz w:val="23"/>
          <w:szCs w:val="23"/>
        </w:rPr>
        <w:tab/>
        <w:t>Que exista un alto requerimiento para hacer más transparente el proceso.</w:t>
      </w:r>
    </w:p>
    <w:p w:rsidR="00815638" w:rsidRPr="009B48CE" w:rsidRDefault="00815638" w:rsidP="009B48CE">
      <w:pPr>
        <w:spacing w:after="0" w:line="276" w:lineRule="auto"/>
        <w:jc w:val="both"/>
        <w:rPr>
          <w:rFonts w:ascii="Palatino Linotype" w:hAnsi="Palatino Linotype"/>
          <w:sz w:val="23"/>
          <w:szCs w:val="23"/>
        </w:rPr>
      </w:pPr>
    </w:p>
    <w:p w:rsidR="009B48CE" w:rsidRPr="009B48CE" w:rsidRDefault="00815638" w:rsidP="009B48CE">
      <w:pPr>
        <w:spacing w:after="0" w:line="276" w:lineRule="auto"/>
        <w:jc w:val="both"/>
        <w:rPr>
          <w:rFonts w:ascii="Palatino Linotype" w:hAnsi="Palatino Linotype"/>
          <w:sz w:val="23"/>
          <w:szCs w:val="23"/>
        </w:rPr>
      </w:pPr>
      <w:r w:rsidRPr="009B48CE">
        <w:rPr>
          <w:rFonts w:ascii="Palatino Linotype" w:hAnsi="Palatino Linotype"/>
          <w:sz w:val="23"/>
          <w:szCs w:val="23"/>
        </w:rPr>
        <w:t xml:space="preserve">No obstante para la suscrita, es de considerarse que </w:t>
      </w:r>
      <w:r w:rsidR="009B48CE" w:rsidRPr="009B48CE">
        <w:rPr>
          <w:rFonts w:ascii="Palatino Linotype" w:hAnsi="Palatino Linotype"/>
          <w:sz w:val="23"/>
          <w:szCs w:val="23"/>
        </w:rPr>
        <w:t xml:space="preserve">de conformidad con los artículos </w:t>
      </w:r>
      <w:r w:rsidR="009B48CE" w:rsidRPr="009B48CE">
        <w:rPr>
          <w:rFonts w:ascii="Palatino Linotype" w:hAnsi="Palatino Linotype" w:cs="Arial"/>
          <w:sz w:val="23"/>
          <w:szCs w:val="23"/>
        </w:rPr>
        <w:t xml:space="preserve">1.49, 1.50, 1.52, 1.53 del Código Administrativo del Estado de México y 3 fracción III, 7, 8, 9, 10, 16, 17, 35, 36, 37, 38, 39, 40, 43 y 44 del Reglamento del Título Décimo del Libro Primero del Código Administrativo del Estado de México, "Del Testigo Social", </w:t>
      </w:r>
      <w:r w:rsidR="009B48CE" w:rsidRPr="009B48CE">
        <w:rPr>
          <w:rFonts w:ascii="Palatino Linotype" w:hAnsi="Palatino Linotype" w:cs="Arial"/>
          <w:b/>
          <w:sz w:val="23"/>
          <w:szCs w:val="23"/>
        </w:rPr>
        <w:t>las facultades que tiene el Comité de Registro de Testigos Sociales del Estado de México, se circunscriben en resolver respecto a la procedencia para otorgar el registro como Testigos Sociales</w:t>
      </w:r>
      <w:r w:rsidR="009B48CE" w:rsidRPr="009B48CE">
        <w:rPr>
          <w:rFonts w:ascii="Palatino Linotype" w:hAnsi="Palatino Linotype" w:cs="Arial"/>
          <w:sz w:val="23"/>
          <w:szCs w:val="23"/>
        </w:rPr>
        <w:t xml:space="preserve"> a aquellos solicitantes que cumplan con los requisitos que establecen los ordenamientos en cita, y en su caso, la autorización de la ampliación de aquél mediante la emisión de la Constancia de registro correspondiente, así como mantener actualizada las listas de los citados registros de acuerdo a la especialidad de los Testigos Sociales, para que las Unidades Contratantes o Dependencias puedan contactarlos a través de los datos de registro y de contacto que se encuentran inmersos en la referida lista y de ser el caso, éstas puedan contratar sus servicios.</w:t>
      </w:r>
    </w:p>
    <w:p w:rsidR="009B48CE" w:rsidRPr="009B48CE" w:rsidRDefault="009B48CE" w:rsidP="009B48CE">
      <w:pPr>
        <w:spacing w:line="276" w:lineRule="auto"/>
        <w:jc w:val="both"/>
        <w:rPr>
          <w:rFonts w:ascii="Palatino Linotype" w:hAnsi="Palatino Linotype" w:cs="Arial"/>
          <w:sz w:val="23"/>
          <w:szCs w:val="23"/>
        </w:rPr>
      </w:pPr>
    </w:p>
    <w:p w:rsidR="009B48CE" w:rsidRPr="009B48CE" w:rsidRDefault="009B48CE" w:rsidP="009B48CE">
      <w:pPr>
        <w:spacing w:line="276" w:lineRule="auto"/>
        <w:jc w:val="both"/>
        <w:rPr>
          <w:rFonts w:ascii="Palatino Linotype" w:hAnsi="Palatino Linotype" w:cs="Arial"/>
          <w:sz w:val="23"/>
          <w:szCs w:val="23"/>
        </w:rPr>
      </w:pPr>
      <w:r w:rsidRPr="009B48CE">
        <w:rPr>
          <w:rFonts w:ascii="Palatino Linotype" w:hAnsi="Palatino Linotype" w:cs="Arial"/>
          <w:sz w:val="23"/>
          <w:szCs w:val="23"/>
        </w:rPr>
        <w:t>Por otro lado, el ordinario 1.46 del Código Administrativo de la Entidad, dispone que las</w:t>
      </w:r>
      <w:r w:rsidRPr="009B48CE">
        <w:rPr>
          <w:rFonts w:ascii="Palatino Linotype" w:hAnsi="Palatino Linotype" w:cs="Arial"/>
          <w:b/>
          <w:sz w:val="23"/>
          <w:szCs w:val="23"/>
        </w:rPr>
        <w:t xml:space="preserve"> </w:t>
      </w:r>
      <w:r w:rsidRPr="009B48CE">
        <w:rPr>
          <w:rFonts w:ascii="Palatino Linotype" w:hAnsi="Palatino Linotype" w:cs="Arial"/>
          <w:sz w:val="23"/>
          <w:szCs w:val="23"/>
        </w:rPr>
        <w:t xml:space="preserve">Unidades Administrativas mencionadas en el artículo 1.43 del mismo ordenamiento legal, </w:t>
      </w:r>
      <w:r w:rsidRPr="009B48CE">
        <w:rPr>
          <w:rFonts w:ascii="Palatino Linotype" w:hAnsi="Palatino Linotype" w:cs="Arial"/>
          <w:b/>
          <w:sz w:val="23"/>
          <w:szCs w:val="23"/>
          <w:u w:val="single"/>
        </w:rPr>
        <w:t>podrán solicitar la participación de los Testigos Sociales en los procedimientos de contratación pública que estimen convenientes</w:t>
      </w:r>
      <w:r w:rsidRPr="009B48CE">
        <w:rPr>
          <w:rFonts w:ascii="Palatino Linotype" w:hAnsi="Palatino Linotype" w:cs="Arial"/>
          <w:sz w:val="23"/>
          <w:szCs w:val="23"/>
        </w:rPr>
        <w:t xml:space="preserve"> </w:t>
      </w:r>
      <w:r w:rsidRPr="009B48CE">
        <w:rPr>
          <w:rFonts w:ascii="Palatino Linotype" w:hAnsi="Palatino Linotype" w:cs="Arial"/>
          <w:b/>
          <w:sz w:val="23"/>
          <w:szCs w:val="23"/>
        </w:rPr>
        <w:t>de acuerdo con los criterios y disposiciones establecidos en el Título Décimo del Libro Primero del Código Administrativo</w:t>
      </w:r>
      <w:r w:rsidRPr="009B48CE">
        <w:rPr>
          <w:rFonts w:ascii="Palatino Linotype" w:hAnsi="Palatino Linotype" w:cs="Arial"/>
          <w:sz w:val="23"/>
          <w:szCs w:val="23"/>
        </w:rPr>
        <w:t xml:space="preserve"> de referencia. </w:t>
      </w:r>
    </w:p>
    <w:p w:rsidR="009B48CE" w:rsidRPr="009B48CE" w:rsidRDefault="009B48CE" w:rsidP="009B48CE">
      <w:pPr>
        <w:spacing w:line="276" w:lineRule="auto"/>
        <w:jc w:val="both"/>
        <w:rPr>
          <w:rFonts w:ascii="Palatino Linotype" w:hAnsi="Palatino Linotype" w:cs="Arial"/>
          <w:sz w:val="23"/>
          <w:szCs w:val="23"/>
        </w:rPr>
      </w:pPr>
    </w:p>
    <w:p w:rsidR="009B48CE" w:rsidRPr="009B48CE" w:rsidRDefault="009B48CE" w:rsidP="009B48CE">
      <w:pPr>
        <w:spacing w:line="276" w:lineRule="auto"/>
        <w:jc w:val="both"/>
        <w:rPr>
          <w:rFonts w:ascii="Palatino Linotype" w:hAnsi="Palatino Linotype" w:cs="Arial"/>
          <w:sz w:val="23"/>
          <w:szCs w:val="23"/>
        </w:rPr>
      </w:pPr>
      <w:r w:rsidRPr="009B48CE">
        <w:rPr>
          <w:rFonts w:ascii="Palatino Linotype" w:hAnsi="Palatino Linotype" w:cs="Arial"/>
          <w:sz w:val="23"/>
          <w:szCs w:val="23"/>
        </w:rPr>
        <w:t>Asimismo, los numerales 1 y 2 del citado Reglamento del Código Administrativo, señalan la obligación de toda Unidad Contratante de observar lo previsto por el Título Décimo del Libro Primero del referido Código Administrativo, y el Reglamento de dicho Título para la participación de un Testigo Social en los procedimientos de contratación pública que pretendan llevar a cabo.</w:t>
      </w:r>
    </w:p>
    <w:p w:rsidR="009B48CE" w:rsidRPr="009B48CE" w:rsidRDefault="009B48CE" w:rsidP="009B48CE">
      <w:pPr>
        <w:spacing w:line="276" w:lineRule="auto"/>
        <w:jc w:val="both"/>
        <w:rPr>
          <w:rFonts w:ascii="Palatino Linotype" w:hAnsi="Palatino Linotype" w:cs="Arial"/>
          <w:sz w:val="23"/>
          <w:szCs w:val="23"/>
        </w:rPr>
      </w:pPr>
    </w:p>
    <w:p w:rsidR="009B48CE" w:rsidRPr="009B48CE" w:rsidRDefault="009B48CE" w:rsidP="009B48CE">
      <w:pPr>
        <w:spacing w:line="276" w:lineRule="auto"/>
        <w:jc w:val="both"/>
        <w:rPr>
          <w:rFonts w:ascii="Palatino Linotype" w:hAnsi="Palatino Linotype" w:cs="Arial"/>
          <w:sz w:val="23"/>
          <w:szCs w:val="23"/>
        </w:rPr>
      </w:pPr>
      <w:r w:rsidRPr="009B48CE">
        <w:rPr>
          <w:rFonts w:ascii="Palatino Linotype" w:hAnsi="Palatino Linotype" w:cs="Arial"/>
          <w:sz w:val="23"/>
          <w:szCs w:val="23"/>
        </w:rPr>
        <w:t xml:space="preserve">En concordancia con lo anterior, cabe precisar que la Unidad Contratante </w:t>
      </w:r>
      <w:r w:rsidRPr="009B48CE">
        <w:rPr>
          <w:rFonts w:ascii="Palatino Linotype" w:hAnsi="Palatino Linotype" w:cs="Arial"/>
          <w:b/>
          <w:sz w:val="23"/>
          <w:szCs w:val="23"/>
          <w:u w:val="single"/>
        </w:rPr>
        <w:t>deberá tomar en cuenta los supuestos y requisitos de participación</w:t>
      </w:r>
      <w:r w:rsidRPr="009B48CE">
        <w:rPr>
          <w:rFonts w:ascii="Palatino Linotype" w:hAnsi="Palatino Linotype" w:cs="Arial"/>
          <w:sz w:val="23"/>
          <w:szCs w:val="23"/>
        </w:rPr>
        <w:t xml:space="preserve"> de un Testigo Social establecidos en los artículos 1.66 y 1.67 del multicitado Código Administrativo, así como lo previsto en los numerales 4, 5, 12, 15 y 30 del Reglamento del Título del</w:t>
      </w:r>
      <w:r w:rsidRPr="009B48CE">
        <w:rPr>
          <w:sz w:val="23"/>
          <w:szCs w:val="23"/>
        </w:rPr>
        <w:t xml:space="preserve"> </w:t>
      </w:r>
      <w:r w:rsidRPr="009B48CE">
        <w:rPr>
          <w:rFonts w:ascii="Palatino Linotype" w:hAnsi="Palatino Linotype" w:cs="Arial"/>
          <w:sz w:val="23"/>
          <w:szCs w:val="23"/>
        </w:rPr>
        <w:t>Décimo del Libro Primero del referido Código Administrativo.</w:t>
      </w:r>
    </w:p>
    <w:p w:rsidR="009B48CE" w:rsidRPr="009B48CE" w:rsidRDefault="009B48CE" w:rsidP="009B48CE">
      <w:pPr>
        <w:spacing w:line="276" w:lineRule="auto"/>
        <w:jc w:val="both"/>
        <w:rPr>
          <w:rFonts w:ascii="Palatino Linotype" w:hAnsi="Palatino Linotype" w:cs="Arial"/>
          <w:sz w:val="23"/>
          <w:szCs w:val="23"/>
        </w:rPr>
      </w:pPr>
    </w:p>
    <w:p w:rsidR="009B48CE" w:rsidRPr="009B48CE" w:rsidRDefault="009B48CE" w:rsidP="009B48CE">
      <w:pPr>
        <w:spacing w:line="276" w:lineRule="auto"/>
        <w:jc w:val="both"/>
        <w:rPr>
          <w:rFonts w:ascii="Palatino Linotype" w:hAnsi="Palatino Linotype" w:cs="Arial"/>
          <w:sz w:val="23"/>
          <w:szCs w:val="23"/>
        </w:rPr>
      </w:pPr>
      <w:r w:rsidRPr="009B48CE">
        <w:rPr>
          <w:rFonts w:ascii="Palatino Linotype" w:hAnsi="Palatino Linotype" w:cs="Arial"/>
          <w:sz w:val="23"/>
          <w:szCs w:val="23"/>
        </w:rPr>
        <w:t>Aunado a ello, es insoslayable señalar que el artículo 69, del Reglamento de la Ley de Contratación Pública del Estado de México y Municipios, establece que será obligatoria la participación de Testigos Sociales en los procedimientos de licitación pública donde concurran los siguientes supuestos:</w:t>
      </w:r>
    </w:p>
    <w:p w:rsidR="009B48CE" w:rsidRPr="009B48CE" w:rsidRDefault="009B48CE" w:rsidP="009B48CE">
      <w:pPr>
        <w:spacing w:line="276" w:lineRule="auto"/>
        <w:jc w:val="both"/>
        <w:rPr>
          <w:rFonts w:ascii="Palatino Linotype" w:hAnsi="Palatino Linotype" w:cs="Arial"/>
          <w:sz w:val="23"/>
          <w:szCs w:val="23"/>
        </w:rPr>
      </w:pPr>
    </w:p>
    <w:p w:rsidR="009B48CE" w:rsidRPr="009B48CE" w:rsidRDefault="009B48CE" w:rsidP="009B48CE">
      <w:pPr>
        <w:pStyle w:val="Prrafodelista"/>
        <w:numPr>
          <w:ilvl w:val="0"/>
          <w:numId w:val="1"/>
        </w:numPr>
        <w:spacing w:after="0" w:line="276" w:lineRule="auto"/>
        <w:ind w:left="567" w:firstLine="0"/>
        <w:jc w:val="both"/>
        <w:rPr>
          <w:rFonts w:ascii="Palatino Linotype" w:hAnsi="Palatino Linotype"/>
          <w:sz w:val="23"/>
          <w:szCs w:val="23"/>
        </w:rPr>
      </w:pPr>
      <w:r w:rsidRPr="009B48CE">
        <w:rPr>
          <w:rFonts w:ascii="Palatino Linotype" w:hAnsi="Palatino Linotype" w:cs="Arial"/>
          <w:sz w:val="23"/>
          <w:szCs w:val="23"/>
        </w:rPr>
        <w:t>Cuyo monto rebase el equivalente a dos</w:t>
      </w:r>
      <w:r w:rsidRPr="009B48CE">
        <w:rPr>
          <w:rFonts w:ascii="Palatino Linotype" w:hAnsi="Palatino Linotype"/>
          <w:sz w:val="23"/>
          <w:szCs w:val="23"/>
        </w:rPr>
        <w:t xml:space="preserve"> </w:t>
      </w:r>
      <w:r w:rsidRPr="009B48CE">
        <w:rPr>
          <w:rFonts w:ascii="Palatino Linotype" w:hAnsi="Palatino Linotype" w:cs="Arial"/>
          <w:sz w:val="23"/>
          <w:szCs w:val="23"/>
        </w:rPr>
        <w:t>millones de salario mínimo general vigente en la Capital del Estado; y</w:t>
      </w:r>
    </w:p>
    <w:p w:rsidR="009B48CE" w:rsidRPr="009B48CE" w:rsidRDefault="009B48CE" w:rsidP="009B48CE">
      <w:pPr>
        <w:pStyle w:val="Prrafodelista"/>
        <w:spacing w:line="276" w:lineRule="auto"/>
        <w:ind w:left="567"/>
        <w:jc w:val="both"/>
        <w:rPr>
          <w:rFonts w:ascii="Palatino Linotype" w:hAnsi="Palatino Linotype"/>
          <w:sz w:val="23"/>
          <w:szCs w:val="23"/>
        </w:rPr>
      </w:pPr>
    </w:p>
    <w:p w:rsidR="009B48CE" w:rsidRPr="009B48CE" w:rsidRDefault="009B48CE" w:rsidP="009B48CE">
      <w:pPr>
        <w:pStyle w:val="Prrafodelista"/>
        <w:numPr>
          <w:ilvl w:val="0"/>
          <w:numId w:val="1"/>
        </w:numPr>
        <w:spacing w:after="0" w:line="276" w:lineRule="auto"/>
        <w:ind w:left="567" w:firstLine="0"/>
        <w:jc w:val="both"/>
        <w:rPr>
          <w:rFonts w:ascii="Palatino Linotype" w:hAnsi="Palatino Linotype"/>
          <w:sz w:val="23"/>
          <w:szCs w:val="23"/>
        </w:rPr>
      </w:pPr>
      <w:r w:rsidRPr="009B48CE">
        <w:rPr>
          <w:rFonts w:ascii="Palatino Linotype" w:hAnsi="Palatino Linotype" w:cs="Arial"/>
          <w:sz w:val="23"/>
          <w:szCs w:val="23"/>
        </w:rPr>
        <w:t>En aquellos casos en los que el</w:t>
      </w:r>
      <w:r w:rsidRPr="009B48CE">
        <w:rPr>
          <w:rFonts w:ascii="Palatino Linotype" w:hAnsi="Palatino Linotype"/>
          <w:sz w:val="23"/>
          <w:szCs w:val="23"/>
        </w:rPr>
        <w:t xml:space="preserve"> </w:t>
      </w:r>
      <w:r w:rsidRPr="009B48CE">
        <w:rPr>
          <w:rFonts w:ascii="Palatino Linotype" w:hAnsi="Palatino Linotype" w:cs="Arial"/>
          <w:sz w:val="23"/>
          <w:szCs w:val="23"/>
        </w:rPr>
        <w:t>área solicitante así lo determine por su complejidad o impacto que tenga en sus programas</w:t>
      </w:r>
      <w:r w:rsidRPr="009B48CE">
        <w:rPr>
          <w:rFonts w:ascii="Palatino Linotype" w:hAnsi="Palatino Linotype"/>
          <w:sz w:val="23"/>
          <w:szCs w:val="23"/>
        </w:rPr>
        <w:t xml:space="preserve"> </w:t>
      </w:r>
      <w:r w:rsidRPr="009B48CE">
        <w:rPr>
          <w:rFonts w:ascii="Palatino Linotype" w:hAnsi="Palatino Linotype" w:cs="Arial"/>
          <w:sz w:val="23"/>
          <w:szCs w:val="23"/>
        </w:rPr>
        <w:t>sustantivos, en términos del Título Décimo del</w:t>
      </w:r>
      <w:r w:rsidRPr="009B48CE">
        <w:rPr>
          <w:rFonts w:ascii="Palatino Linotype" w:hAnsi="Palatino Linotype"/>
          <w:sz w:val="23"/>
          <w:szCs w:val="23"/>
        </w:rPr>
        <w:t xml:space="preserve"> </w:t>
      </w:r>
      <w:r w:rsidRPr="009B48CE">
        <w:rPr>
          <w:rFonts w:ascii="Palatino Linotype" w:hAnsi="Palatino Linotype" w:cs="Arial"/>
          <w:sz w:val="23"/>
          <w:szCs w:val="23"/>
        </w:rPr>
        <w:t>Libro Primero del Código Administrativo del Estado de México.</w:t>
      </w:r>
    </w:p>
    <w:p w:rsidR="00D5452A" w:rsidRPr="00E2122E" w:rsidRDefault="00D5452A" w:rsidP="009B48CE">
      <w:pPr>
        <w:spacing w:after="0" w:line="276" w:lineRule="auto"/>
        <w:jc w:val="both"/>
        <w:rPr>
          <w:rFonts w:ascii="Palatino Linotype" w:hAnsi="Palatino Linotype"/>
          <w:sz w:val="36"/>
          <w:szCs w:val="23"/>
        </w:rPr>
      </w:pPr>
    </w:p>
    <w:p w:rsidR="00570DB6" w:rsidRPr="00B600F3" w:rsidRDefault="0023581E" w:rsidP="00570DB6">
      <w:pPr>
        <w:spacing w:line="276" w:lineRule="auto"/>
        <w:jc w:val="both"/>
        <w:rPr>
          <w:rFonts w:ascii="Palatino Linotype" w:hAnsi="Palatino Linotype" w:cs="Arial"/>
          <w:sz w:val="23"/>
          <w:szCs w:val="23"/>
        </w:rPr>
      </w:pPr>
      <w:r>
        <w:rPr>
          <w:rFonts w:ascii="Palatino Linotype" w:hAnsi="Palatino Linotype" w:cs="Arial"/>
          <w:sz w:val="23"/>
          <w:szCs w:val="23"/>
        </w:rPr>
        <w:t>Bajo ese tenor</w:t>
      </w:r>
      <w:r w:rsidR="00570DB6" w:rsidRPr="00B600F3">
        <w:rPr>
          <w:rFonts w:ascii="Palatino Linotype" w:hAnsi="Palatino Linotype" w:cs="Arial"/>
          <w:sz w:val="23"/>
          <w:szCs w:val="23"/>
        </w:rPr>
        <w:t xml:space="preserve">, </w:t>
      </w:r>
      <w:r w:rsidR="00570DB6" w:rsidRPr="009B48CE">
        <w:rPr>
          <w:rFonts w:ascii="Palatino Linotype" w:hAnsi="Palatino Linotype"/>
          <w:sz w:val="23"/>
          <w:szCs w:val="23"/>
        </w:rPr>
        <w:t>es que se llega al punto en disenso</w:t>
      </w:r>
      <w:r w:rsidR="00570DB6">
        <w:rPr>
          <w:rFonts w:ascii="Palatino Linotype" w:hAnsi="Palatino Linotype"/>
          <w:sz w:val="23"/>
          <w:szCs w:val="23"/>
        </w:rPr>
        <w:t xml:space="preserve"> en el que</w:t>
      </w:r>
      <w:r w:rsidR="00570DB6" w:rsidRPr="00B600F3">
        <w:rPr>
          <w:rFonts w:ascii="Palatino Linotype" w:hAnsi="Palatino Linotype" w:cs="Arial"/>
          <w:sz w:val="23"/>
          <w:szCs w:val="23"/>
        </w:rPr>
        <w:t xml:space="preserve"> a la Unidad Contratante a</w:t>
      </w:r>
      <w:r>
        <w:rPr>
          <w:rFonts w:ascii="Palatino Linotype" w:hAnsi="Palatino Linotype" w:cs="Arial"/>
          <w:sz w:val="23"/>
          <w:szCs w:val="23"/>
        </w:rPr>
        <w:t>l</w:t>
      </w:r>
      <w:r w:rsidR="00570DB6" w:rsidRPr="00B600F3">
        <w:rPr>
          <w:rFonts w:ascii="Palatino Linotype" w:hAnsi="Palatino Linotype" w:cs="Arial"/>
          <w:sz w:val="23"/>
          <w:szCs w:val="23"/>
        </w:rPr>
        <w:t xml:space="preserve"> actualizarse los supuestos y requisitos para la contratación y/o intervención de un Testigo Social que prevé la normatividad en comento, </w:t>
      </w:r>
      <w:r>
        <w:rPr>
          <w:rFonts w:ascii="Palatino Linotype" w:hAnsi="Palatino Linotype" w:cs="Arial"/>
          <w:sz w:val="23"/>
          <w:szCs w:val="23"/>
        </w:rPr>
        <w:t>puede</w:t>
      </w:r>
      <w:r w:rsidR="00570DB6" w:rsidRPr="00B600F3">
        <w:rPr>
          <w:rFonts w:ascii="Palatino Linotype" w:hAnsi="Palatino Linotype" w:cs="Arial"/>
          <w:sz w:val="23"/>
          <w:szCs w:val="23"/>
        </w:rPr>
        <w:t xml:space="preserve"> remitirse a la lista actualizada que se encuentra publicada en la Página Oficial del Comité de Registro de Testigos Sociales, y visible en la liga electrónica siguiente </w:t>
      </w:r>
      <w:hyperlink r:id="rId8" w:history="1">
        <w:r w:rsidR="00570DB6" w:rsidRPr="00B600F3">
          <w:rPr>
            <w:rStyle w:val="Hipervnculo"/>
            <w:rFonts w:ascii="Palatino Linotype" w:hAnsi="Palatino Linotype" w:cs="Arial"/>
            <w:sz w:val="23"/>
            <w:szCs w:val="23"/>
          </w:rPr>
          <w:t>http://www.testigossociales.org.mx/TestigosSociales/testigos-registrados.html</w:t>
        </w:r>
      </w:hyperlink>
      <w:r>
        <w:rPr>
          <w:rFonts w:ascii="Palatino Linotype" w:hAnsi="Palatino Linotype" w:cs="Arial"/>
          <w:sz w:val="23"/>
          <w:szCs w:val="23"/>
        </w:rPr>
        <w:t xml:space="preserve">, </w:t>
      </w:r>
      <w:r w:rsidR="00570DB6" w:rsidRPr="00B600F3">
        <w:rPr>
          <w:rFonts w:ascii="Palatino Linotype" w:hAnsi="Palatino Linotype" w:cs="Arial"/>
          <w:sz w:val="23"/>
          <w:szCs w:val="23"/>
        </w:rPr>
        <w:t>que</w:t>
      </w:r>
      <w:r>
        <w:rPr>
          <w:rFonts w:ascii="Palatino Linotype" w:hAnsi="Palatino Linotype" w:cs="Arial"/>
          <w:sz w:val="23"/>
          <w:szCs w:val="23"/>
        </w:rPr>
        <w:t xml:space="preserve"> en su caso</w:t>
      </w:r>
      <w:r w:rsidR="00570DB6" w:rsidRPr="00B600F3">
        <w:rPr>
          <w:rFonts w:ascii="Palatino Linotype" w:hAnsi="Palatino Linotype" w:cs="Arial"/>
          <w:sz w:val="23"/>
          <w:szCs w:val="23"/>
        </w:rPr>
        <w:t xml:space="preserve"> </w:t>
      </w:r>
      <w:r>
        <w:rPr>
          <w:rFonts w:ascii="Palatino Linotype" w:hAnsi="Palatino Linotype" w:cs="Arial"/>
          <w:sz w:val="23"/>
          <w:szCs w:val="23"/>
        </w:rPr>
        <w:t>procede, seleccionar</w:t>
      </w:r>
      <w:r w:rsidR="00570DB6" w:rsidRPr="00B600F3">
        <w:rPr>
          <w:rFonts w:ascii="Palatino Linotype" w:hAnsi="Palatino Linotype" w:cs="Arial"/>
          <w:sz w:val="23"/>
          <w:szCs w:val="23"/>
        </w:rPr>
        <w:t xml:space="preserve"> de ac</w:t>
      </w:r>
      <w:r>
        <w:rPr>
          <w:rFonts w:ascii="Palatino Linotype" w:hAnsi="Palatino Linotype" w:cs="Arial"/>
          <w:sz w:val="23"/>
          <w:szCs w:val="23"/>
        </w:rPr>
        <w:t>uerdo a su perfil a cualquier</w:t>
      </w:r>
      <w:r w:rsidR="00570DB6" w:rsidRPr="00B600F3">
        <w:rPr>
          <w:rFonts w:ascii="Palatino Linotype" w:hAnsi="Palatino Linotype" w:cs="Arial"/>
          <w:sz w:val="23"/>
          <w:szCs w:val="23"/>
        </w:rPr>
        <w:t xml:space="preserve"> </w:t>
      </w:r>
      <w:r>
        <w:rPr>
          <w:rFonts w:ascii="Palatino Linotype" w:hAnsi="Palatino Linotype" w:cs="Arial"/>
          <w:sz w:val="23"/>
          <w:szCs w:val="23"/>
        </w:rPr>
        <w:t>Testigo Social que considere pertinente</w:t>
      </w:r>
      <w:r w:rsidR="00570DB6" w:rsidRPr="00B600F3">
        <w:rPr>
          <w:rFonts w:ascii="Palatino Linotype" w:hAnsi="Palatino Linotype" w:cs="Arial"/>
          <w:sz w:val="23"/>
          <w:szCs w:val="23"/>
        </w:rPr>
        <w:t>, para efecto de que pueda solicitar la intervención de alguno de éstos y en su caso, pueda desarrollar las contrataciones públicas.</w:t>
      </w:r>
    </w:p>
    <w:p w:rsidR="00D5452A" w:rsidRDefault="00D5452A" w:rsidP="009B48CE">
      <w:pPr>
        <w:spacing w:after="0" w:line="276" w:lineRule="auto"/>
        <w:jc w:val="both"/>
        <w:rPr>
          <w:rFonts w:ascii="Palatino Linotype" w:hAnsi="Palatino Linotype"/>
          <w:sz w:val="23"/>
          <w:szCs w:val="23"/>
        </w:rPr>
      </w:pPr>
    </w:p>
    <w:p w:rsidR="0023581E" w:rsidRDefault="0023581E" w:rsidP="009B48CE">
      <w:pPr>
        <w:spacing w:after="0" w:line="276" w:lineRule="auto"/>
        <w:jc w:val="both"/>
        <w:rPr>
          <w:rFonts w:ascii="Palatino Linotype" w:hAnsi="Palatino Linotype"/>
          <w:sz w:val="23"/>
          <w:szCs w:val="23"/>
        </w:rPr>
      </w:pPr>
      <w:r>
        <w:rPr>
          <w:rFonts w:ascii="Palatino Linotype" w:hAnsi="Palatino Linotype"/>
          <w:sz w:val="23"/>
          <w:szCs w:val="23"/>
        </w:rPr>
        <w:t xml:space="preserve">Lo que hace arribar a la conclusión que los dispositivos legales aplicables al ejercicio de las facultades y atribuciones del </w:t>
      </w:r>
      <w:r w:rsidRPr="0023581E">
        <w:rPr>
          <w:rFonts w:ascii="Palatino Linotype" w:hAnsi="Palatino Linotype"/>
          <w:sz w:val="23"/>
          <w:szCs w:val="23"/>
        </w:rPr>
        <w:t>Comité de Registro de Testigos Sociales del Estado de México</w:t>
      </w:r>
      <w:r>
        <w:rPr>
          <w:rFonts w:ascii="Palatino Linotype" w:hAnsi="Palatino Linotype"/>
          <w:sz w:val="23"/>
          <w:szCs w:val="23"/>
        </w:rPr>
        <w:t xml:space="preserve">, así como </w:t>
      </w:r>
      <w:r w:rsidR="00F07BCB">
        <w:rPr>
          <w:rFonts w:ascii="Palatino Linotype" w:hAnsi="Palatino Linotype"/>
          <w:sz w:val="23"/>
          <w:szCs w:val="23"/>
        </w:rPr>
        <w:t>los procedimientos que deben seguir las Dependencias Unidades contratantes, para solicitar la intervención de un Testigo Social.</w:t>
      </w:r>
    </w:p>
    <w:p w:rsidR="0023581E" w:rsidRDefault="0023581E" w:rsidP="009B48CE">
      <w:pPr>
        <w:spacing w:after="0" w:line="276" w:lineRule="auto"/>
        <w:jc w:val="both"/>
        <w:rPr>
          <w:rFonts w:ascii="Palatino Linotype" w:hAnsi="Palatino Linotype"/>
          <w:sz w:val="23"/>
          <w:szCs w:val="23"/>
        </w:rPr>
      </w:pPr>
      <w:r>
        <w:rPr>
          <w:rFonts w:ascii="Palatino Linotype" w:hAnsi="Palatino Linotype"/>
          <w:sz w:val="23"/>
          <w:szCs w:val="23"/>
        </w:rPr>
        <w:t xml:space="preserve"> </w:t>
      </w:r>
    </w:p>
    <w:p w:rsidR="00570DB6" w:rsidRDefault="00A00785" w:rsidP="00570DB6">
      <w:pPr>
        <w:pStyle w:val="Sinespaciado"/>
        <w:spacing w:line="276" w:lineRule="auto"/>
        <w:jc w:val="both"/>
        <w:rPr>
          <w:rFonts w:ascii="Palatino Linotype" w:hAnsi="Palatino Linotype"/>
          <w:sz w:val="23"/>
          <w:szCs w:val="23"/>
        </w:rPr>
      </w:pPr>
      <w:r w:rsidRPr="009B48CE">
        <w:rPr>
          <w:rFonts w:ascii="Palatino Linotype" w:hAnsi="Palatino Linotype"/>
          <w:sz w:val="23"/>
          <w:szCs w:val="23"/>
        </w:rPr>
        <w:t xml:space="preserve">Por lo que a consideración de esta Ponencia, en la resolución emitida se debió haber considerado que, si bien la respuesta dada por el Sujeto Obligado fue suficiente para colmar las pretensiones del Recurrente, esto </w:t>
      </w:r>
      <w:r w:rsidR="00570DB6">
        <w:rPr>
          <w:rFonts w:ascii="Palatino Linotype" w:hAnsi="Palatino Linotype"/>
          <w:sz w:val="23"/>
          <w:szCs w:val="23"/>
        </w:rPr>
        <w:t>en la resolución debió tomarse en cuenta lo anteriormente expuesto en el presente voto particular para futuras ocasiones.</w:t>
      </w:r>
    </w:p>
    <w:p w:rsidR="00815638" w:rsidRPr="009B48CE" w:rsidRDefault="00815638" w:rsidP="00B66859">
      <w:pPr>
        <w:spacing w:after="0" w:line="276" w:lineRule="auto"/>
        <w:rPr>
          <w:rFonts w:ascii="Palatino Linotype" w:hAnsi="Palatino Linotype"/>
          <w:b/>
          <w:sz w:val="23"/>
          <w:szCs w:val="23"/>
        </w:rPr>
      </w:pPr>
    </w:p>
    <w:p w:rsidR="00815638" w:rsidRPr="009B48CE" w:rsidRDefault="00815638" w:rsidP="009B48CE">
      <w:pPr>
        <w:spacing w:after="0" w:line="276" w:lineRule="auto"/>
        <w:jc w:val="center"/>
        <w:rPr>
          <w:rFonts w:ascii="Palatino Linotype" w:hAnsi="Palatino Linotype"/>
          <w:b/>
          <w:sz w:val="23"/>
          <w:szCs w:val="23"/>
        </w:rPr>
      </w:pPr>
    </w:p>
    <w:p w:rsidR="00815638" w:rsidRPr="009B48CE" w:rsidRDefault="00815638" w:rsidP="009B48CE">
      <w:pPr>
        <w:spacing w:after="0" w:line="276" w:lineRule="auto"/>
        <w:jc w:val="center"/>
        <w:rPr>
          <w:rFonts w:ascii="Palatino Linotype" w:hAnsi="Palatino Linotype"/>
          <w:b/>
          <w:sz w:val="23"/>
          <w:szCs w:val="23"/>
        </w:rPr>
      </w:pPr>
    </w:p>
    <w:p w:rsidR="00B66859" w:rsidRDefault="00B66859" w:rsidP="009B48CE">
      <w:pPr>
        <w:spacing w:after="0" w:line="276" w:lineRule="auto"/>
        <w:rPr>
          <w:rFonts w:ascii="Palatino Linotype" w:hAnsi="Palatino Linotype"/>
          <w:b/>
          <w:sz w:val="23"/>
          <w:szCs w:val="23"/>
        </w:rPr>
      </w:pPr>
    </w:p>
    <w:p w:rsidR="00B66859" w:rsidRDefault="00B66859" w:rsidP="009B48CE">
      <w:pPr>
        <w:spacing w:after="0" w:line="276" w:lineRule="auto"/>
        <w:rPr>
          <w:rFonts w:ascii="Palatino Linotype" w:hAnsi="Palatino Linotype"/>
          <w:b/>
          <w:sz w:val="23"/>
          <w:szCs w:val="23"/>
        </w:rPr>
      </w:pPr>
    </w:p>
    <w:p w:rsidR="00B66859" w:rsidRDefault="00B66859" w:rsidP="009B48CE">
      <w:pPr>
        <w:spacing w:after="0" w:line="276" w:lineRule="auto"/>
        <w:rPr>
          <w:rFonts w:ascii="Palatino Linotype" w:hAnsi="Palatino Linotype"/>
          <w:b/>
          <w:sz w:val="23"/>
          <w:szCs w:val="23"/>
        </w:rPr>
      </w:pPr>
    </w:p>
    <w:p w:rsidR="00E2122E" w:rsidRDefault="00E2122E" w:rsidP="009B48CE">
      <w:pPr>
        <w:spacing w:after="0" w:line="276" w:lineRule="auto"/>
        <w:rPr>
          <w:rFonts w:ascii="Palatino Linotype" w:hAnsi="Palatino Linotype"/>
          <w:b/>
          <w:sz w:val="23"/>
          <w:szCs w:val="23"/>
        </w:rPr>
      </w:pPr>
    </w:p>
    <w:p w:rsidR="00E2122E" w:rsidRDefault="00E2122E" w:rsidP="009B48CE">
      <w:pPr>
        <w:spacing w:after="0" w:line="276" w:lineRule="auto"/>
        <w:rPr>
          <w:rFonts w:ascii="Palatino Linotype" w:hAnsi="Palatino Linotype"/>
          <w:b/>
          <w:sz w:val="23"/>
          <w:szCs w:val="23"/>
        </w:rPr>
      </w:pPr>
    </w:p>
    <w:p w:rsidR="00CC78BE" w:rsidRDefault="00CC78BE" w:rsidP="009B48CE">
      <w:pPr>
        <w:spacing w:after="0" w:line="276" w:lineRule="auto"/>
        <w:rPr>
          <w:rFonts w:ascii="Palatino Linotype" w:hAnsi="Palatino Linotype"/>
          <w:b/>
          <w:sz w:val="23"/>
          <w:szCs w:val="23"/>
        </w:rPr>
      </w:pPr>
    </w:p>
    <w:p w:rsidR="00CC78BE" w:rsidRPr="009B48CE" w:rsidRDefault="00CC78BE" w:rsidP="009B48CE">
      <w:pPr>
        <w:spacing w:after="0" w:line="276" w:lineRule="auto"/>
        <w:rPr>
          <w:rFonts w:ascii="Palatino Linotype" w:hAnsi="Palatino Linotype"/>
          <w:b/>
          <w:sz w:val="23"/>
          <w:szCs w:val="23"/>
        </w:rPr>
      </w:pPr>
    </w:p>
    <w:p w:rsidR="00815638" w:rsidRPr="009B48CE" w:rsidRDefault="00815638" w:rsidP="00B66859">
      <w:pPr>
        <w:spacing w:after="0" w:line="240" w:lineRule="auto"/>
        <w:jc w:val="center"/>
        <w:rPr>
          <w:rFonts w:ascii="Palatino Linotype" w:hAnsi="Palatino Linotype"/>
          <w:b/>
          <w:sz w:val="23"/>
          <w:szCs w:val="23"/>
        </w:rPr>
      </w:pPr>
      <w:r w:rsidRPr="009B48CE">
        <w:rPr>
          <w:rFonts w:ascii="Palatino Linotype" w:hAnsi="Palatino Linotype"/>
          <w:b/>
          <w:sz w:val="23"/>
          <w:szCs w:val="23"/>
        </w:rPr>
        <w:t>Zulema Martínez Sánchez</w:t>
      </w:r>
    </w:p>
    <w:p w:rsidR="00815638" w:rsidRDefault="00815638" w:rsidP="00B66859">
      <w:pPr>
        <w:spacing w:after="0" w:line="240" w:lineRule="auto"/>
        <w:jc w:val="center"/>
        <w:rPr>
          <w:rFonts w:ascii="Palatino Linotype" w:hAnsi="Palatino Linotype"/>
          <w:b/>
          <w:sz w:val="23"/>
          <w:szCs w:val="23"/>
        </w:rPr>
      </w:pPr>
      <w:r w:rsidRPr="009B48CE">
        <w:rPr>
          <w:rFonts w:ascii="Palatino Linotype" w:hAnsi="Palatino Linotype"/>
          <w:b/>
          <w:sz w:val="23"/>
          <w:szCs w:val="23"/>
        </w:rPr>
        <w:t>Comisionada Presidenta</w:t>
      </w:r>
    </w:p>
    <w:p w:rsidR="00C424BB" w:rsidRPr="009B48CE" w:rsidRDefault="00C424BB" w:rsidP="00B66859">
      <w:pPr>
        <w:spacing w:after="0" w:line="240" w:lineRule="auto"/>
        <w:jc w:val="center"/>
        <w:rPr>
          <w:rFonts w:ascii="Palatino Linotype" w:hAnsi="Palatino Linotype"/>
          <w:b/>
          <w:sz w:val="23"/>
          <w:szCs w:val="23"/>
        </w:rPr>
      </w:pPr>
      <w:r>
        <w:rPr>
          <w:rFonts w:ascii="Palatino Linotype" w:hAnsi="Palatino Linotype"/>
          <w:b/>
          <w:sz w:val="23"/>
          <w:szCs w:val="23"/>
        </w:rPr>
        <w:t>(Rúbrica)</w:t>
      </w:r>
    </w:p>
    <w:p w:rsidR="00E2122E" w:rsidRDefault="00E2122E" w:rsidP="009B48CE">
      <w:pPr>
        <w:spacing w:after="0" w:line="276" w:lineRule="auto"/>
        <w:jc w:val="both"/>
        <w:rPr>
          <w:rFonts w:ascii="Palatino Linotype" w:hAnsi="Palatino Linotype"/>
          <w:sz w:val="23"/>
          <w:szCs w:val="23"/>
        </w:rPr>
      </w:pPr>
    </w:p>
    <w:p w:rsidR="00E2122E" w:rsidRPr="00EE70F3" w:rsidRDefault="00EE70F3" w:rsidP="00EE70F3">
      <w:pPr>
        <w:spacing w:after="0" w:line="240" w:lineRule="auto"/>
        <w:jc w:val="both"/>
        <w:rPr>
          <w:rFonts w:ascii="Palatino Linotype" w:hAnsi="Palatino Linotype" w:cs="Arial"/>
          <w:sz w:val="16"/>
          <w:szCs w:val="16"/>
        </w:rPr>
      </w:pPr>
      <w:r>
        <w:rPr>
          <w:rFonts w:ascii="Palatino Linotype" w:hAnsi="Palatino Linotype" w:cs="Arial"/>
          <w:sz w:val="16"/>
          <w:szCs w:val="16"/>
        </w:rPr>
        <w:t>Esta hoja corresponde al</w:t>
      </w:r>
      <w:r w:rsidRPr="0089501E">
        <w:rPr>
          <w:rFonts w:ascii="Palatino Linotype" w:hAnsi="Palatino Linotype" w:cs="Arial"/>
          <w:sz w:val="16"/>
          <w:szCs w:val="16"/>
        </w:rPr>
        <w:t xml:space="preserve"> </w:t>
      </w:r>
      <w:r>
        <w:rPr>
          <w:rFonts w:ascii="Palatino Linotype" w:hAnsi="Palatino Linotype" w:cs="Arial"/>
          <w:sz w:val="16"/>
          <w:szCs w:val="16"/>
        </w:rPr>
        <w:t>Voto Particular, emitido en el Recurso d</w:t>
      </w:r>
      <w:r w:rsidRPr="00EE70F3">
        <w:rPr>
          <w:rFonts w:ascii="Palatino Linotype" w:hAnsi="Palatino Linotype" w:cs="Arial"/>
          <w:sz w:val="16"/>
          <w:szCs w:val="16"/>
        </w:rPr>
        <w:t xml:space="preserve">e Revisión </w:t>
      </w:r>
      <w:r w:rsidRPr="00EE70F3">
        <w:rPr>
          <w:rFonts w:ascii="Palatino Linotype" w:hAnsi="Palatino Linotype" w:cs="Arial"/>
          <w:b/>
          <w:sz w:val="16"/>
          <w:szCs w:val="16"/>
        </w:rPr>
        <w:t>04609/INFOEM/IP/RR/2018</w:t>
      </w:r>
      <w:r w:rsidRPr="0089501E">
        <w:rPr>
          <w:rFonts w:ascii="Palatino Linotype" w:hAnsi="Palatino Linotype" w:cs="Arial"/>
          <w:sz w:val="16"/>
          <w:szCs w:val="16"/>
        </w:rPr>
        <w:t>.</w:t>
      </w:r>
    </w:p>
    <w:p w:rsidR="002A5ADD" w:rsidRPr="00B66859" w:rsidRDefault="00A00785" w:rsidP="00B66859">
      <w:pPr>
        <w:spacing w:after="0" w:line="276" w:lineRule="auto"/>
        <w:jc w:val="both"/>
        <w:rPr>
          <w:rFonts w:ascii="Palatino Linotype" w:hAnsi="Palatino Linotype"/>
          <w:sz w:val="16"/>
          <w:szCs w:val="23"/>
        </w:rPr>
      </w:pPr>
      <w:r w:rsidRPr="00B66859">
        <w:rPr>
          <w:rFonts w:ascii="Palatino Linotype" w:hAnsi="Palatino Linotype"/>
          <w:sz w:val="16"/>
          <w:szCs w:val="23"/>
        </w:rPr>
        <w:t>ZMS/OSAM/jasm</w:t>
      </w:r>
    </w:p>
    <w:sectPr w:rsidR="002A5ADD" w:rsidRPr="00B66859" w:rsidSect="002E001E">
      <w:headerReference w:type="even" r:id="rId9"/>
      <w:headerReference w:type="default" r:id="rId10"/>
      <w:footerReference w:type="default" r:id="rId11"/>
      <w:pgSz w:w="12240" w:h="15840"/>
      <w:pgMar w:top="1871" w:right="1327" w:bottom="2836" w:left="1985" w:header="709" w:footer="58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2D6A" w:rsidRDefault="00432D6A" w:rsidP="00AC0505">
      <w:pPr>
        <w:spacing w:after="0" w:line="240" w:lineRule="auto"/>
      </w:pPr>
      <w:r>
        <w:separator/>
      </w:r>
    </w:p>
  </w:endnote>
  <w:endnote w:type="continuationSeparator" w:id="0">
    <w:p w:rsidR="00432D6A" w:rsidRDefault="00432D6A" w:rsidP="00AC05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001E" w:rsidRPr="006C50A8" w:rsidRDefault="00052AAA" w:rsidP="002E001E">
    <w:pPr>
      <w:pStyle w:val="Piedepgina"/>
      <w:jc w:val="right"/>
      <w:rPr>
        <w:rFonts w:ascii="Palatino Linotype" w:hAnsi="Palatino Linotype" w:cs="Arial"/>
        <w:sz w:val="22"/>
        <w:szCs w:val="22"/>
      </w:rPr>
    </w:pPr>
    <w:r w:rsidRPr="006C50A8">
      <w:rPr>
        <w:rFonts w:ascii="Palatino Linotype" w:hAnsi="Palatino Linotype" w:cs="Arial"/>
        <w:b/>
        <w:bCs/>
        <w:sz w:val="22"/>
        <w:szCs w:val="22"/>
      </w:rPr>
      <w:fldChar w:fldCharType="begin"/>
    </w:r>
    <w:r w:rsidRPr="006C50A8">
      <w:rPr>
        <w:rFonts w:ascii="Palatino Linotype" w:hAnsi="Palatino Linotype" w:cs="Arial"/>
        <w:b/>
        <w:bCs/>
        <w:sz w:val="22"/>
        <w:szCs w:val="22"/>
      </w:rPr>
      <w:instrText>PAGE</w:instrText>
    </w:r>
    <w:r w:rsidRPr="006C50A8">
      <w:rPr>
        <w:rFonts w:ascii="Palatino Linotype" w:hAnsi="Palatino Linotype" w:cs="Arial"/>
        <w:b/>
        <w:bCs/>
        <w:sz w:val="22"/>
        <w:szCs w:val="22"/>
      </w:rPr>
      <w:fldChar w:fldCharType="separate"/>
    </w:r>
    <w:r w:rsidR="00E32631">
      <w:rPr>
        <w:rFonts w:ascii="Palatino Linotype" w:hAnsi="Palatino Linotype" w:cs="Arial"/>
        <w:b/>
        <w:bCs/>
        <w:noProof/>
        <w:sz w:val="22"/>
        <w:szCs w:val="22"/>
      </w:rPr>
      <w:t>1</w:t>
    </w:r>
    <w:r w:rsidRPr="006C50A8">
      <w:rPr>
        <w:rFonts w:ascii="Palatino Linotype" w:hAnsi="Palatino Linotype" w:cs="Arial"/>
        <w:b/>
        <w:bCs/>
        <w:sz w:val="22"/>
        <w:szCs w:val="22"/>
      </w:rPr>
      <w:fldChar w:fldCharType="end"/>
    </w:r>
    <w:r w:rsidRPr="006C50A8">
      <w:rPr>
        <w:rFonts w:ascii="Palatino Linotype" w:hAnsi="Palatino Linotype" w:cs="Arial"/>
        <w:sz w:val="22"/>
        <w:szCs w:val="22"/>
      </w:rPr>
      <w:t xml:space="preserve"> de </w:t>
    </w:r>
    <w:r w:rsidRPr="006C50A8">
      <w:rPr>
        <w:rFonts w:ascii="Palatino Linotype" w:hAnsi="Palatino Linotype" w:cs="Arial"/>
        <w:b/>
        <w:bCs/>
        <w:sz w:val="22"/>
        <w:szCs w:val="22"/>
      </w:rPr>
      <w:fldChar w:fldCharType="begin"/>
    </w:r>
    <w:r w:rsidRPr="006C50A8">
      <w:rPr>
        <w:rFonts w:ascii="Palatino Linotype" w:hAnsi="Palatino Linotype" w:cs="Arial"/>
        <w:b/>
        <w:bCs/>
        <w:sz w:val="22"/>
        <w:szCs w:val="22"/>
      </w:rPr>
      <w:instrText>NUMPAGES</w:instrText>
    </w:r>
    <w:r w:rsidRPr="006C50A8">
      <w:rPr>
        <w:rFonts w:ascii="Palatino Linotype" w:hAnsi="Palatino Linotype" w:cs="Arial"/>
        <w:b/>
        <w:bCs/>
        <w:sz w:val="22"/>
        <w:szCs w:val="22"/>
      </w:rPr>
      <w:fldChar w:fldCharType="separate"/>
    </w:r>
    <w:r w:rsidR="00E32631">
      <w:rPr>
        <w:rFonts w:ascii="Palatino Linotype" w:hAnsi="Palatino Linotype" w:cs="Arial"/>
        <w:b/>
        <w:bCs/>
        <w:noProof/>
        <w:sz w:val="22"/>
        <w:szCs w:val="22"/>
      </w:rPr>
      <w:t>7</w:t>
    </w:r>
    <w:r w:rsidRPr="006C50A8">
      <w:rPr>
        <w:rFonts w:ascii="Palatino Linotype" w:hAnsi="Palatino Linotype" w:cs="Arial"/>
        <w:b/>
        <w:bCs/>
        <w:sz w:val="22"/>
        <w:szCs w:val="22"/>
      </w:rPr>
      <w:fldChar w:fldCharType="end"/>
    </w:r>
  </w:p>
  <w:p w:rsidR="002E001E" w:rsidRDefault="002E001E" w:rsidP="002E001E">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2D6A" w:rsidRDefault="00432D6A" w:rsidP="00AC0505">
      <w:pPr>
        <w:spacing w:after="0" w:line="240" w:lineRule="auto"/>
      </w:pPr>
      <w:r>
        <w:separator/>
      </w:r>
    </w:p>
  </w:footnote>
  <w:footnote w:type="continuationSeparator" w:id="0">
    <w:p w:rsidR="00432D6A" w:rsidRDefault="00432D6A" w:rsidP="00AC050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001E" w:rsidRDefault="00052AAA">
    <w:pPr>
      <w:pStyle w:val="Encabezado"/>
    </w:pPr>
    <w:r>
      <w:rPr>
        <w:noProof/>
        <w:lang w:val="es-MX" w:eastAsia="es-MX"/>
      </w:rPr>
      <mc:AlternateContent>
        <mc:Choice Requires="wps">
          <w:drawing>
            <wp:anchor distT="0" distB="0" distL="114300" distR="114300" simplePos="0" relativeHeight="251657728" behindDoc="1" locked="0" layoutInCell="0" allowOverlap="1" wp14:anchorId="204456A2" wp14:editId="78BC43F0">
              <wp:simplePos x="0" y="0"/>
              <wp:positionH relativeFrom="margin">
                <wp:align>center</wp:align>
              </wp:positionH>
              <wp:positionV relativeFrom="margin">
                <wp:align>center</wp:align>
              </wp:positionV>
              <wp:extent cx="6793865" cy="1198880"/>
              <wp:effectExtent l="0" t="2038350" r="0" b="1887220"/>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793865" cy="119888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2E001E" w:rsidRDefault="00052AAA" w:rsidP="002E001E">
                          <w:pPr>
                            <w:pStyle w:val="NormalWeb"/>
                            <w:spacing w:before="0" w:beforeAutospacing="0" w:after="0" w:afterAutospacing="0"/>
                            <w:jc w:val="center"/>
                          </w:pPr>
                          <w:r>
                            <w:rPr>
                              <w:rFonts w:ascii="Calibri" w:hAnsi="Calibri"/>
                              <w:color w:val="F4B083" w:themeColor="accent2" w:themeTint="99"/>
                              <w:sz w:val="2"/>
                              <w:szCs w:val="2"/>
                              <w14:textFill>
                                <w14:solidFill>
                                  <w14:schemeClr w14:val="accent2">
                                    <w14:alpha w14:val="50000"/>
                                    <w14:lumMod w14:val="60000"/>
                                    <w14:lumOff w14:val="40000"/>
                                  </w14:schemeClr>
                                </w14:solidFill>
                              </w14:textFill>
                            </w:rPr>
                            <w:t>OPINIÓN PARTICULAR</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04456A2" id="_x0000_t202" coordsize="21600,21600" o:spt="202" path="m,l,21600r21600,l21600,xe">
              <v:stroke joinstyle="miter"/>
              <v:path gradientshapeok="t" o:connecttype="rect"/>
            </v:shapetype>
            <v:shape id="Cuadro de texto 3" o:spid="_x0000_s1026" type="#_x0000_t202" style="position:absolute;margin-left:0;margin-top:0;width:534.95pt;height:94.4pt;rotation:-45;z-index:-2516587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" o:allowincell="f" filled="f" stroked="f">
              <v:stroke joinstyle="round"/>
              <o:lock v:ext="edit" shapetype="t"/>
              <v:textbox style="mso-fit-shape-to-text:t">
                <w:txbxContent>
                  <w:p w:rsidR="002E001E" w:rsidRDefault="00052AAA" w:rsidP="002E001E">
                    <w:pPr>
                      <w:pStyle w:val="NormalWeb"/>
                      <w:spacing w:before="0" w:beforeAutospacing="0" w:after="0" w:afterAutospacing="0"/>
                      <w:jc w:val="center"/>
                    </w:pPr>
                    <w:r>
                      <w:rPr>
                        <w:rFonts w:ascii="Calibri" w:hAnsi="Calibri"/>
                        <w:color w:val="F4B083" w:themeColor="accent2" w:themeTint="99"/>
                        <w:sz w:val="2"/>
                        <w:szCs w:val="2"/>
                        <w14:textFill>
                          <w14:solidFill>
                            <w14:schemeClr w14:val="accent2">
                              <w14:alpha w14:val="50000"/>
                              <w14:lumMod w14:val="60000"/>
                              <w14:lumOff w14:val="40000"/>
                            </w14:schemeClr>
                          </w14:solidFill>
                        </w14:textFill>
                      </w:rPr>
                      <w:t>OPINIÓN PARTICULAR</w:t>
                    </w:r>
                  </w:p>
                </w:txbxContent>
              </v:textbox>
              <w10:wrap anchorx="margin" anchory="margin"/>
            </v:shape>
          </w:pict>
        </mc:Fallback>
      </mc:AlternateContent>
    </w:r>
    <w:r>
      <w:rPr>
        <w:noProof/>
        <w:lang w:val="es-MX" w:eastAsia="es-MX"/>
      </w:rPr>
      <mc:AlternateContent>
        <mc:Choice Requires="wps">
          <w:drawing>
            <wp:anchor distT="0" distB="0" distL="114300" distR="114300" simplePos="0" relativeHeight="251655680" behindDoc="1" locked="0" layoutInCell="0" allowOverlap="1" wp14:anchorId="69874C24" wp14:editId="0680E7F5">
              <wp:simplePos x="0" y="0"/>
              <wp:positionH relativeFrom="margin">
                <wp:align>center</wp:align>
              </wp:positionH>
              <wp:positionV relativeFrom="margin">
                <wp:align>center</wp:align>
              </wp:positionV>
              <wp:extent cx="5810250" cy="771525"/>
              <wp:effectExtent l="0" t="1876425" r="0" b="169545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10250" cy="7715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2E001E" w:rsidRDefault="00052AAA" w:rsidP="002E001E">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69874C24" id="Cuadro de texto 2" o:spid="_x0000_s1027" type="#_x0000_t202" style="position:absolute;margin-left:0;margin-top:0;width:457.5pt;height:60.75pt;rotation:-45;z-index:-25166080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" o:allowincell="f" filled="f" stroked="f">
              <v:stroke joinstyle="round"/>
              <o:lock v:ext="edit" shapetype="t"/>
              <v:textbox style="mso-fit-shape-to-text:t">
                <w:txbxContent>
                  <w:p w:rsidR="002E001E" w:rsidRDefault="00052AAA" w:rsidP="002E001E">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v:textbox>
              <w10:wrap anchorx="margin" anchory="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001E" w:rsidRDefault="00E32631" w:rsidP="002E001E">
    <w:pPr>
      <w:pStyle w:val="Encabezado"/>
      <w:jc w:val="right"/>
      <w:rPr>
        <w:rFonts w:ascii="Arial" w:hAnsi="Arial" w:cs="Arial"/>
        <w:sz w:val="20"/>
        <w:szCs w:val="20"/>
      </w:rPr>
    </w:pPr>
    <w:sdt>
      <w:sdtPr>
        <w:rPr>
          <w:rFonts w:ascii="Arial" w:hAnsi="Arial" w:cs="Arial"/>
          <w:sz w:val="20"/>
          <w:szCs w:val="20"/>
        </w:rPr>
        <w:id w:val="935636447"/>
        <w:docPartObj>
          <w:docPartGallery w:val="Watermarks"/>
          <w:docPartUnique/>
        </w:docPartObj>
      </w:sdtPr>
      <w:sdtEndPr/>
      <w:sdtContent>
        <w:r>
          <w:rPr>
            <w:rFonts w:ascii="Arial" w:hAnsi="Arial" w:cs="Arial"/>
            <w:sz w:val="20"/>
            <w:szCs w:val="2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4212942" o:spid="_x0000_s2049" type="#_x0000_t136" style="position:absolute;left:0;text-align:left;margin-left:0;margin-top:0;width:518.25pt;height:111.05pt;rotation:315;z-index:-251656704;mso-position-horizontal:center;mso-position-horizontal-relative:margin;mso-position-vertical:center;mso-position-vertical-relative:margin" o:allowincell="f" fillcolor="#ed7d31 [3205]" stroked="f">
              <v:fill opacity=".5"/>
              <v:textpath style="font-family:&quot;calibri&quot;;font-size:1pt" string="VOTO PARTICULAR"/>
              <w10:wrap anchorx="margin" anchory="margin"/>
            </v:shape>
          </w:pict>
        </w:r>
      </w:sdtContent>
    </w:sdt>
    <w:r w:rsidR="00052AAA">
      <w:rPr>
        <w:noProof/>
        <w:lang w:val="es-MX" w:eastAsia="es-MX"/>
      </w:rPr>
      <mc:AlternateContent>
        <mc:Choice Requires="wps">
          <w:drawing>
            <wp:anchor distT="0" distB="0" distL="114300" distR="114300" simplePos="0" relativeHeight="251658752" behindDoc="1" locked="0" layoutInCell="0" allowOverlap="1" wp14:anchorId="1A4F648B" wp14:editId="72D0E75C">
              <wp:simplePos x="0" y="0"/>
              <wp:positionH relativeFrom="margin">
                <wp:align>center</wp:align>
              </wp:positionH>
              <wp:positionV relativeFrom="margin">
                <wp:align>center</wp:align>
              </wp:positionV>
              <wp:extent cx="6793865" cy="1198880"/>
              <wp:effectExtent l="0" t="2038350" r="0" b="1887220"/>
              <wp:wrapNone/>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793865" cy="119888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2E001E" w:rsidRDefault="00052AAA" w:rsidP="002E001E">
                          <w:pPr>
                            <w:pStyle w:val="NormalWeb"/>
                            <w:spacing w:before="0" w:beforeAutospacing="0" w:after="0" w:afterAutospacing="0"/>
                            <w:jc w:val="center"/>
                          </w:pPr>
                          <w:r>
                            <w:rPr>
                              <w:rFonts w:ascii="Calibri" w:hAnsi="Calibri"/>
                              <w:color w:val="F4B083" w:themeColor="accent2" w:themeTint="99"/>
                              <w:sz w:val="2"/>
                              <w:szCs w:val="2"/>
                              <w14:textFill>
                                <w14:solidFill>
                                  <w14:schemeClr w14:val="accent2">
                                    <w14:alpha w14:val="50000"/>
                                    <w14:lumMod w14:val="60000"/>
                                    <w14:lumOff w14:val="40000"/>
                                  </w14:schemeClr>
                                </w14:solidFill>
                              </w14:textFill>
                            </w:rPr>
                            <w:t>OPINIÓN PARTICULAR</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A4F648B" id="_x0000_t202" coordsize="21600,21600" o:spt="202" path="m,l,21600r21600,l21600,xe">
              <v:stroke joinstyle="miter"/>
              <v:path gradientshapeok="t" o:connecttype="rect"/>
            </v:shapetype>
            <v:shape id="Cuadro de texto 1" o:spid="_x0000_s1028" type="#_x0000_t202" style="position:absolute;left:0;text-align:left;margin-left:0;margin-top:0;width:534.95pt;height:94.4pt;rotation:-45;z-index:-25165772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" o:allowincell="f" filled="f" stroked="f">
              <v:stroke joinstyle="round"/>
              <o:lock v:ext="edit" shapetype="t"/>
              <v:textbox style="mso-fit-shape-to-text:t">
                <w:txbxContent>
                  <w:p w:rsidR="002E001E" w:rsidRDefault="00052AAA" w:rsidP="002E001E">
                    <w:pPr>
                      <w:pStyle w:val="NormalWeb"/>
                      <w:spacing w:before="0" w:beforeAutospacing="0" w:after="0" w:afterAutospacing="0"/>
                      <w:jc w:val="center"/>
                    </w:pPr>
                    <w:r>
                      <w:rPr>
                        <w:rFonts w:ascii="Calibri" w:hAnsi="Calibri"/>
                        <w:color w:val="F4B083" w:themeColor="accent2" w:themeTint="99"/>
                        <w:sz w:val="2"/>
                        <w:szCs w:val="2"/>
                        <w14:textFill>
                          <w14:solidFill>
                            <w14:schemeClr w14:val="accent2">
                              <w14:alpha w14:val="50000"/>
                              <w14:lumMod w14:val="60000"/>
                              <w14:lumOff w14:val="40000"/>
                            </w14:schemeClr>
                          </w14:solidFill>
                        </w14:textFill>
                      </w:rPr>
                      <w:t>OPINIÓN PARTICULAR</w:t>
                    </w:r>
                  </w:p>
                </w:txbxContent>
              </v:textbox>
              <w10:wrap anchorx="margin" anchory="margin"/>
            </v:shape>
          </w:pict>
        </mc:Fallback>
      </mc:AlternateContent>
    </w:r>
    <w:r w:rsidR="00052AAA">
      <w:rPr>
        <w:noProof/>
        <w:lang w:val="es-MX" w:eastAsia="es-MX"/>
      </w:rPr>
      <w:drawing>
        <wp:anchor distT="0" distB="0" distL="114300" distR="114300" simplePos="0" relativeHeight="251656704" behindDoc="1" locked="0" layoutInCell="1" allowOverlap="1" wp14:anchorId="53489D78" wp14:editId="23CDF7E9">
          <wp:simplePos x="0" y="0"/>
          <wp:positionH relativeFrom="page">
            <wp:align>center</wp:align>
          </wp:positionH>
          <wp:positionV relativeFrom="paragraph">
            <wp:posOffset>-449906</wp:posOffset>
          </wp:positionV>
          <wp:extent cx="7510628" cy="9883775"/>
          <wp:effectExtent l="0" t="0" r="0" b="3175"/>
          <wp:wrapNone/>
          <wp:docPr id="10" name="Imagen 10"/>
          <wp:cNvGraphicFramePr/>
          <a:graphic xmlns:a="http://schemas.openxmlformats.org/drawingml/2006/main">
            <a:graphicData uri="http://schemas.openxmlformats.org/drawingml/2006/picture">
              <pic:pic xmlns:pic="http://schemas.openxmlformats.org/drawingml/2006/picture">
                <pic:nvPicPr>
                  <pic:cNvPr id="10" name="Imagen 10"/>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10628" cy="9883775"/>
                  </a:xfrm>
                  <a:prstGeom prst="rect">
                    <a:avLst/>
                  </a:prstGeom>
                  <a:extLst>
                    <a:ext uri="{FAA26D3D-D897-4be2-8F04-BA451C77F1D7}">
                      <ma14:placeholderFlag xmlns:arto="http://schemas.microsoft.com/office/word/2006/arto" xmlns:lc="http://schemas.openxmlformats.org/drawingml/2006/lockedCanvas"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p w:rsidR="002E001E" w:rsidRDefault="002E001E" w:rsidP="002E001E">
    <w:pPr>
      <w:pStyle w:val="Encabezado"/>
      <w:jc w:val="right"/>
      <w:rPr>
        <w:rFonts w:ascii="Arial" w:hAnsi="Arial" w:cs="Arial"/>
        <w:sz w:val="20"/>
        <w:szCs w:val="20"/>
      </w:rPr>
    </w:pPr>
  </w:p>
  <w:p w:rsidR="002E001E" w:rsidRDefault="002E001E" w:rsidP="002E001E">
    <w:pPr>
      <w:pStyle w:val="Encabezado"/>
      <w:jc w:val="right"/>
      <w:rPr>
        <w:rFonts w:ascii="Arial" w:hAnsi="Arial" w:cs="Arial"/>
        <w:sz w:val="20"/>
        <w:szCs w:val="20"/>
      </w:rPr>
    </w:pPr>
  </w:p>
  <w:p w:rsidR="002E001E" w:rsidRPr="00563D0F" w:rsidRDefault="00052AAA" w:rsidP="002E001E">
    <w:pPr>
      <w:pStyle w:val="Encabezado"/>
      <w:jc w:val="right"/>
      <w:rPr>
        <w:rFonts w:ascii="Palatino Linotype" w:hAnsi="Palatino Linotype" w:cs="Arial"/>
        <w:b/>
        <w:sz w:val="20"/>
        <w:szCs w:val="20"/>
      </w:rPr>
    </w:pPr>
    <w:r>
      <w:rPr>
        <w:rFonts w:ascii="Palatino Linotype" w:hAnsi="Palatino Linotype" w:cs="Arial"/>
        <w:b/>
        <w:sz w:val="20"/>
        <w:szCs w:val="20"/>
      </w:rPr>
      <w:t xml:space="preserve">VOTO PARTICULAR </w:t>
    </w:r>
  </w:p>
  <w:p w:rsidR="002E001E" w:rsidRPr="00563D0F" w:rsidRDefault="00052AAA" w:rsidP="002E001E">
    <w:pPr>
      <w:pStyle w:val="Encabezado"/>
      <w:jc w:val="right"/>
      <w:rPr>
        <w:rFonts w:ascii="Palatino Linotype" w:hAnsi="Palatino Linotype" w:cs="Arial"/>
        <w:b/>
        <w:sz w:val="20"/>
        <w:szCs w:val="20"/>
      </w:rPr>
    </w:pPr>
    <w:r w:rsidRPr="00563D0F">
      <w:rPr>
        <w:rFonts w:ascii="Palatino Linotype" w:hAnsi="Palatino Linotype" w:cs="Arial"/>
        <w:b/>
        <w:sz w:val="20"/>
        <w:szCs w:val="20"/>
      </w:rPr>
      <w:t xml:space="preserve">RECURSO DE </w:t>
    </w:r>
    <w:r w:rsidRPr="006B0547">
      <w:rPr>
        <w:rFonts w:ascii="Palatino Linotype" w:hAnsi="Palatino Linotype" w:cs="Arial"/>
        <w:b/>
        <w:sz w:val="20"/>
        <w:szCs w:val="20"/>
      </w:rPr>
      <w:t xml:space="preserve">REVISIÓN </w:t>
    </w:r>
    <w:r w:rsidRPr="00897E24">
      <w:rPr>
        <w:rFonts w:ascii="Palatino Linotype" w:hAnsi="Palatino Linotype" w:cs="Arial"/>
        <w:b/>
        <w:sz w:val="20"/>
        <w:szCs w:val="20"/>
      </w:rPr>
      <w:t>0</w:t>
    </w:r>
    <w:r w:rsidR="00274B73">
      <w:rPr>
        <w:rFonts w:ascii="Palatino Linotype" w:hAnsi="Palatino Linotype" w:cs="Arial"/>
        <w:b/>
        <w:sz w:val="20"/>
        <w:szCs w:val="20"/>
      </w:rPr>
      <w:t>4609</w:t>
    </w:r>
    <w:r w:rsidRPr="00897E24">
      <w:rPr>
        <w:rFonts w:ascii="Palatino Linotype" w:hAnsi="Palatino Linotype" w:cs="Arial"/>
        <w:b/>
        <w:sz w:val="20"/>
        <w:szCs w:val="20"/>
      </w:rPr>
      <w:t>/INFOEM/IP/RR/201</w:t>
    </w:r>
    <w:r w:rsidR="00D90C80">
      <w:rPr>
        <w:rFonts w:ascii="Palatino Linotype" w:hAnsi="Palatino Linotype" w:cs="Arial"/>
        <w:b/>
        <w:sz w:val="20"/>
        <w:szCs w:val="20"/>
      </w:rPr>
      <w:t>8</w:t>
    </w:r>
  </w:p>
  <w:p w:rsidR="002E001E" w:rsidRDefault="002E001E" w:rsidP="002E001E">
    <w:pPr>
      <w:pStyle w:val="Encabezado"/>
      <w:jc w:val="right"/>
      <w:rPr>
        <w:rFonts w:ascii="Palatino Linotype" w:hAnsi="Palatino Linotype" w:cs="Arial"/>
        <w:sz w:val="20"/>
        <w:szCs w:val="20"/>
      </w:rPr>
    </w:pPr>
  </w:p>
  <w:p w:rsidR="002E001E" w:rsidRDefault="002E001E" w:rsidP="002E001E">
    <w:pPr>
      <w:pStyle w:val="Encabezado"/>
      <w:jc w:val="right"/>
      <w:rPr>
        <w:rFonts w:ascii="Palatino Linotype" w:hAnsi="Palatino Linotype" w:cs="Arial"/>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847BB"/>
    <w:multiLevelType w:val="hybridMultilevel"/>
    <w:tmpl w:val="BEAA155C"/>
    <w:lvl w:ilvl="0" w:tplc="13A64168">
      <w:numFmt w:val="bullet"/>
      <w:lvlText w:val=""/>
      <w:lvlJc w:val="left"/>
      <w:pPr>
        <w:ind w:left="786" w:hanging="360"/>
      </w:pPr>
      <w:rPr>
        <w:rFonts w:ascii="Symbol" w:eastAsiaTheme="minorHAnsi" w:hAnsi="Symbol" w:cstheme="minorBidi" w:hint="default"/>
      </w:rPr>
    </w:lvl>
    <w:lvl w:ilvl="1" w:tplc="080A0003" w:tentative="1">
      <w:start w:val="1"/>
      <w:numFmt w:val="bullet"/>
      <w:lvlText w:val="o"/>
      <w:lvlJc w:val="left"/>
      <w:pPr>
        <w:ind w:left="1506" w:hanging="360"/>
      </w:pPr>
      <w:rPr>
        <w:rFonts w:ascii="Courier New" w:hAnsi="Courier New" w:cs="Courier New" w:hint="default"/>
      </w:rPr>
    </w:lvl>
    <w:lvl w:ilvl="2" w:tplc="080A0005" w:tentative="1">
      <w:start w:val="1"/>
      <w:numFmt w:val="bullet"/>
      <w:lvlText w:val=""/>
      <w:lvlJc w:val="left"/>
      <w:pPr>
        <w:ind w:left="2226" w:hanging="360"/>
      </w:pPr>
      <w:rPr>
        <w:rFonts w:ascii="Wingdings" w:hAnsi="Wingdings" w:hint="default"/>
      </w:rPr>
    </w:lvl>
    <w:lvl w:ilvl="3" w:tplc="080A0001" w:tentative="1">
      <w:start w:val="1"/>
      <w:numFmt w:val="bullet"/>
      <w:lvlText w:val=""/>
      <w:lvlJc w:val="left"/>
      <w:pPr>
        <w:ind w:left="2946" w:hanging="360"/>
      </w:pPr>
      <w:rPr>
        <w:rFonts w:ascii="Symbol" w:hAnsi="Symbol" w:hint="default"/>
      </w:rPr>
    </w:lvl>
    <w:lvl w:ilvl="4" w:tplc="080A0003" w:tentative="1">
      <w:start w:val="1"/>
      <w:numFmt w:val="bullet"/>
      <w:lvlText w:val="o"/>
      <w:lvlJc w:val="left"/>
      <w:pPr>
        <w:ind w:left="3666" w:hanging="360"/>
      </w:pPr>
      <w:rPr>
        <w:rFonts w:ascii="Courier New" w:hAnsi="Courier New" w:cs="Courier New" w:hint="default"/>
      </w:rPr>
    </w:lvl>
    <w:lvl w:ilvl="5" w:tplc="080A0005" w:tentative="1">
      <w:start w:val="1"/>
      <w:numFmt w:val="bullet"/>
      <w:lvlText w:val=""/>
      <w:lvlJc w:val="left"/>
      <w:pPr>
        <w:ind w:left="4386" w:hanging="360"/>
      </w:pPr>
      <w:rPr>
        <w:rFonts w:ascii="Wingdings" w:hAnsi="Wingdings" w:hint="default"/>
      </w:rPr>
    </w:lvl>
    <w:lvl w:ilvl="6" w:tplc="080A0001" w:tentative="1">
      <w:start w:val="1"/>
      <w:numFmt w:val="bullet"/>
      <w:lvlText w:val=""/>
      <w:lvlJc w:val="left"/>
      <w:pPr>
        <w:ind w:left="5106" w:hanging="360"/>
      </w:pPr>
      <w:rPr>
        <w:rFonts w:ascii="Symbol" w:hAnsi="Symbol" w:hint="default"/>
      </w:rPr>
    </w:lvl>
    <w:lvl w:ilvl="7" w:tplc="080A0003" w:tentative="1">
      <w:start w:val="1"/>
      <w:numFmt w:val="bullet"/>
      <w:lvlText w:val="o"/>
      <w:lvlJc w:val="left"/>
      <w:pPr>
        <w:ind w:left="5826" w:hanging="360"/>
      </w:pPr>
      <w:rPr>
        <w:rFonts w:ascii="Courier New" w:hAnsi="Courier New" w:cs="Courier New" w:hint="default"/>
      </w:rPr>
    </w:lvl>
    <w:lvl w:ilvl="8" w:tplc="080A0005" w:tentative="1">
      <w:start w:val="1"/>
      <w:numFmt w:val="bullet"/>
      <w:lvlText w:val=""/>
      <w:lvlJc w:val="left"/>
      <w:pPr>
        <w:ind w:left="6546" w:hanging="360"/>
      </w:pPr>
      <w:rPr>
        <w:rFonts w:ascii="Wingdings" w:hAnsi="Wingdings" w:hint="default"/>
      </w:rPr>
    </w:lvl>
  </w:abstractNum>
  <w:abstractNum w:abstractNumId="1" w15:restartNumberingAfterBreak="0">
    <w:nsid w:val="54994A31"/>
    <w:multiLevelType w:val="hybridMultilevel"/>
    <w:tmpl w:val="91F61D4A"/>
    <w:lvl w:ilvl="0" w:tplc="1236E7A4">
      <w:start w:val="1"/>
      <w:numFmt w:val="lowerLetter"/>
      <w:lvlText w:val="%1)"/>
      <w:lvlJc w:val="left"/>
      <w:pPr>
        <w:ind w:left="720" w:hanging="360"/>
      </w:pPr>
      <w:rPr>
        <w:rFonts w:cs="Arial" w:hint="default"/>
        <w:b w:val="0"/>
        <w:sz w:val="23"/>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0505"/>
    <w:rsid w:val="00013ECB"/>
    <w:rsid w:val="00045CE5"/>
    <w:rsid w:val="00052AAA"/>
    <w:rsid w:val="0009400C"/>
    <w:rsid w:val="000B3558"/>
    <w:rsid w:val="000C6D18"/>
    <w:rsid w:val="00135028"/>
    <w:rsid w:val="00147433"/>
    <w:rsid w:val="001C51EC"/>
    <w:rsid w:val="00212A35"/>
    <w:rsid w:val="0023513C"/>
    <w:rsid w:val="0023581E"/>
    <w:rsid w:val="0024254B"/>
    <w:rsid w:val="002562E3"/>
    <w:rsid w:val="00274B73"/>
    <w:rsid w:val="00290657"/>
    <w:rsid w:val="002A5ADD"/>
    <w:rsid w:val="002E001E"/>
    <w:rsid w:val="002F722D"/>
    <w:rsid w:val="003135DD"/>
    <w:rsid w:val="00432D6A"/>
    <w:rsid w:val="00462956"/>
    <w:rsid w:val="00465B59"/>
    <w:rsid w:val="0049125D"/>
    <w:rsid w:val="004C4149"/>
    <w:rsid w:val="00546077"/>
    <w:rsid w:val="00570DB6"/>
    <w:rsid w:val="005A0F44"/>
    <w:rsid w:val="005D6FDD"/>
    <w:rsid w:val="005E7047"/>
    <w:rsid w:val="0063397A"/>
    <w:rsid w:val="00642404"/>
    <w:rsid w:val="00673A34"/>
    <w:rsid w:val="006A0763"/>
    <w:rsid w:val="007379EC"/>
    <w:rsid w:val="0074096C"/>
    <w:rsid w:val="00786579"/>
    <w:rsid w:val="007A77C3"/>
    <w:rsid w:val="008110A9"/>
    <w:rsid w:val="00815638"/>
    <w:rsid w:val="00894670"/>
    <w:rsid w:val="00925C63"/>
    <w:rsid w:val="009B48CE"/>
    <w:rsid w:val="009F1838"/>
    <w:rsid w:val="00A00785"/>
    <w:rsid w:val="00A36DBB"/>
    <w:rsid w:val="00A66E63"/>
    <w:rsid w:val="00A84700"/>
    <w:rsid w:val="00AC0505"/>
    <w:rsid w:val="00AC5A00"/>
    <w:rsid w:val="00AE3336"/>
    <w:rsid w:val="00AF2AFE"/>
    <w:rsid w:val="00B007B7"/>
    <w:rsid w:val="00B66859"/>
    <w:rsid w:val="00B67F53"/>
    <w:rsid w:val="00B75113"/>
    <w:rsid w:val="00BE28A0"/>
    <w:rsid w:val="00C00A80"/>
    <w:rsid w:val="00C325A1"/>
    <w:rsid w:val="00C424BB"/>
    <w:rsid w:val="00C76424"/>
    <w:rsid w:val="00C81AF0"/>
    <w:rsid w:val="00CC78BE"/>
    <w:rsid w:val="00D2657A"/>
    <w:rsid w:val="00D5452A"/>
    <w:rsid w:val="00D90C80"/>
    <w:rsid w:val="00DB5678"/>
    <w:rsid w:val="00DC2E5A"/>
    <w:rsid w:val="00E2122E"/>
    <w:rsid w:val="00E32631"/>
    <w:rsid w:val="00EE628C"/>
    <w:rsid w:val="00EE70F3"/>
    <w:rsid w:val="00F07BC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C8885485-FF3C-40D7-A444-2E4667FC8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125D"/>
    <w:pPr>
      <w:spacing w:line="254"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C0505"/>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AC0505"/>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AC0505"/>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AC0505"/>
    <w:rPr>
      <w:rFonts w:ascii="Times New Roman" w:eastAsia="Times New Roman" w:hAnsi="Times New Roman" w:cs="Times New Roman"/>
      <w:sz w:val="24"/>
      <w:szCs w:val="24"/>
      <w:lang w:val="es-ES" w:eastAsia="es-ES"/>
    </w:rPr>
  </w:style>
  <w:style w:type="paragraph" w:styleId="NormalWeb">
    <w:name w:val="Normal (Web)"/>
    <w:basedOn w:val="Normal"/>
    <w:uiPriority w:val="99"/>
    <w:rsid w:val="00AC0505"/>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Prrafodelista">
    <w:name w:val="List Paragraph"/>
    <w:basedOn w:val="Normal"/>
    <w:link w:val="PrrafodelistaCar"/>
    <w:uiPriority w:val="34"/>
    <w:qFormat/>
    <w:rsid w:val="00AC0505"/>
    <w:pPr>
      <w:spacing w:line="256" w:lineRule="auto"/>
      <w:ind w:left="720"/>
      <w:contextualSpacing/>
    </w:pPr>
  </w:style>
  <w:style w:type="character" w:customStyle="1" w:styleId="PrrafodelistaCar">
    <w:name w:val="Párrafo de lista Car"/>
    <w:link w:val="Prrafodelista"/>
    <w:uiPriority w:val="34"/>
    <w:locked/>
    <w:rsid w:val="00AC0505"/>
  </w:style>
  <w:style w:type="paragraph" w:styleId="Textodeglobo">
    <w:name w:val="Balloon Text"/>
    <w:basedOn w:val="Normal"/>
    <w:link w:val="TextodegloboCar"/>
    <w:uiPriority w:val="99"/>
    <w:semiHidden/>
    <w:unhideWhenUsed/>
    <w:rsid w:val="004C414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C4149"/>
    <w:rPr>
      <w:rFonts w:ascii="Segoe UI" w:hAnsi="Segoe UI" w:cs="Segoe UI"/>
      <w:sz w:val="18"/>
      <w:szCs w:val="18"/>
    </w:rPr>
  </w:style>
  <w:style w:type="paragraph" w:styleId="Textonotapie">
    <w:name w:val="footnote text"/>
    <w:basedOn w:val="Normal"/>
    <w:link w:val="TextonotapieCar"/>
    <w:uiPriority w:val="99"/>
    <w:semiHidden/>
    <w:unhideWhenUsed/>
    <w:rsid w:val="00AE3336"/>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AE3336"/>
    <w:rPr>
      <w:sz w:val="20"/>
      <w:szCs w:val="20"/>
    </w:rPr>
  </w:style>
  <w:style w:type="character" w:styleId="Refdenotaalpie">
    <w:name w:val="footnote reference"/>
    <w:basedOn w:val="Fuentedeprrafopredeter"/>
    <w:uiPriority w:val="99"/>
    <w:semiHidden/>
    <w:unhideWhenUsed/>
    <w:rsid w:val="00AE3336"/>
    <w:rPr>
      <w:vertAlign w:val="superscript"/>
    </w:rPr>
  </w:style>
  <w:style w:type="character" w:styleId="Hipervnculo">
    <w:name w:val="Hyperlink"/>
    <w:basedOn w:val="Fuentedeprrafopredeter"/>
    <w:uiPriority w:val="99"/>
    <w:unhideWhenUsed/>
    <w:rsid w:val="00AF2AFE"/>
    <w:rPr>
      <w:color w:val="0563C1" w:themeColor="hyperlink"/>
      <w:u w:val="single"/>
    </w:rPr>
  </w:style>
  <w:style w:type="paragraph" w:styleId="Sinespaciado">
    <w:name w:val="No Spacing"/>
    <w:uiPriority w:val="1"/>
    <w:qFormat/>
    <w:rsid w:val="00A0078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1919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stigossociales.org.mx/TestigosSociales/testigos-registrados.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E6AF4B-980A-441F-A44A-2E59224AF7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1660</Words>
  <Characters>9136</Characters>
  <Application>Microsoft Office Word</Application>
  <DocSecurity>0</DocSecurity>
  <Lines>76</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10775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 INFOEM</cp:lastModifiedBy>
  <cp:revision>2</cp:revision>
  <cp:lastPrinted>2019-02-25T18:55:00Z</cp:lastPrinted>
  <dcterms:created xsi:type="dcterms:W3CDTF">2019-04-01T17:49:00Z</dcterms:created>
  <dcterms:modified xsi:type="dcterms:W3CDTF">2019-04-01T17:49:00Z</dcterms:modified>
</cp:coreProperties>
</file>